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015293"/>
          <w:spacing w:val="0"/>
          <w:sz w:val="45"/>
          <w:szCs w:val="45"/>
          <w:shd w:val="clear" w:fill="FFFFFF"/>
        </w:rPr>
      </w:pPr>
      <w:r>
        <w:rPr>
          <w:rFonts w:hint="eastAsia" w:ascii="微软雅黑" w:hAnsi="微软雅黑" w:eastAsia="微软雅黑" w:cs="微软雅黑"/>
          <w:i w:val="0"/>
          <w:caps w:val="0"/>
          <w:color w:val="015293"/>
          <w:spacing w:val="0"/>
          <w:sz w:val="45"/>
          <w:szCs w:val="45"/>
          <w:shd w:val="clear" w:fill="FFFFFF"/>
        </w:rPr>
        <w:t>青田县赴浙江师范大学招聘中小学教师公告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为进一步加强教师队伍建设，优化师资队伍结构，根据《浙江省事业单位公开招聘暂行办法》精神和我县教育事业发展的需要，经研究决定，青田县赴浙江师范大学公开招聘事业编制中小学教师120名。现将具体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一、招聘岗位及条件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本次招聘的中小学教师为青田县教育局下属中小学正式公办教师，属全额事业编制。</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具体招聘的岗位、计划及招聘条件等，详见《青田县赴浙江师范大学招聘中小学教师计划表》（见附件1）。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二、招聘对象和条件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应聘人员除应具备招聘岗位所需专业资格条件外，还需符合以下条件：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1.拥护党的基本路线，遵纪守法，品德高尚，作风正派，热爱教育事业，志愿从事教育工作；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2.年龄为18至35周岁（1986年8月1日至2004年8月1日期间出生）；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3.身心健康，具有适应岗位要求的身体条件；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4.具备与招聘岗位要求相符的学历、学位、专业等条件。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三、招聘程序和办法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按照公开、平等、竞争、择优的原则，通过报名、考试、体检、考察、聘用等程序进行。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1.信息发布平台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FF0000"/>
          <w:spacing w:val="0"/>
          <w:sz w:val="28"/>
          <w:szCs w:val="28"/>
          <w:bdr w:val="none" w:color="auto" w:sz="0" w:space="0"/>
          <w:shd w:val="clear" w:fill="FFFFFF"/>
        </w:rPr>
        <w:t>青田县人民政府门户网</w:t>
      </w:r>
      <w:r>
        <w:rPr>
          <w:rFonts w:hint="eastAsia" w:ascii="宋体" w:hAnsi="宋体" w:eastAsia="宋体" w:cs="宋体"/>
          <w:i w:val="0"/>
          <w:caps w:val="0"/>
          <w:color w:val="000000"/>
          <w:spacing w:val="0"/>
          <w:sz w:val="28"/>
          <w:szCs w:val="28"/>
          <w:bdr w:val="none" w:color="auto" w:sz="0" w:space="0"/>
          <w:shd w:val="clear" w:fill="FFFFFF"/>
        </w:rPr>
        <w:t>、浙江师范大学就业信息网、青田人社公众号等。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2.报名和资格审查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（1）报名方式：采用现场报名的方式进行，必须本人参加。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（2）报名时间：2021年11月13日上午9:00-12:00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（3）报名地点：</w:t>
      </w:r>
      <w:r>
        <w:rPr>
          <w:rFonts w:hint="eastAsia" w:ascii="宋体" w:hAnsi="宋体" w:eastAsia="宋体" w:cs="宋体"/>
          <w:i w:val="0"/>
          <w:caps w:val="0"/>
          <w:color w:val="000000"/>
          <w:spacing w:val="0"/>
          <w:sz w:val="27"/>
          <w:szCs w:val="27"/>
          <w:bdr w:val="none" w:color="auto" w:sz="0" w:space="0"/>
          <w:shd w:val="clear" w:fill="FFFFFF"/>
        </w:rPr>
        <w:t>浙江师范大学东门网球场（师范类专场），若地址变化请关注浙师大具体安排。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（4）报名时需提供以下材料：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①盖好院校公章的就业协议书（一式三份）（网签学校凭网页截图打印稿）；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②《应聘人员基本情况登记表》；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③《就业推荐表》、师范生证明及身份证件。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（5）资格审核：应聘人员携相关材料在招聘会现场报名并同时进行资格审查。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 3.考试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本次招聘考试不设开考比例。通过资格审核的应聘人员，持《应聘人员基本情况登记表》于当天12时前到</w:t>
      </w:r>
      <w:r>
        <w:rPr>
          <w:rFonts w:hint="eastAsia" w:ascii="宋体" w:hAnsi="宋体" w:eastAsia="宋体" w:cs="宋体"/>
          <w:i w:val="0"/>
          <w:caps w:val="0"/>
          <w:color w:val="FF0000"/>
          <w:spacing w:val="0"/>
          <w:sz w:val="28"/>
          <w:szCs w:val="28"/>
          <w:bdr w:val="none" w:color="auto" w:sz="0" w:space="0"/>
          <w:shd w:val="clear" w:fill="FFFFFF"/>
        </w:rPr>
        <w:t>指定地点</w:t>
      </w:r>
      <w:r>
        <w:rPr>
          <w:rFonts w:hint="eastAsia" w:ascii="宋体" w:hAnsi="宋体" w:eastAsia="宋体" w:cs="宋体"/>
          <w:i w:val="0"/>
          <w:caps w:val="0"/>
          <w:color w:val="000000"/>
          <w:spacing w:val="0"/>
          <w:sz w:val="28"/>
          <w:szCs w:val="28"/>
          <w:bdr w:val="none" w:color="auto" w:sz="0" w:space="0"/>
          <w:shd w:val="clear" w:fill="FFFFFF"/>
        </w:rPr>
        <w:t>参加专业测试。根据测试结果，择优现场签订就业协议。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4.体检、考察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体检参照人社部、国家卫计委、国家公务员局《关于修订公务员录用体检通用标准(试行)及公务员录用体检操作手册(试行)有关内容的通知》(人社部发[2016]140号)政策执行，考察按国家公务局《关于做好公务员录用考察工作的通知》（国公局发[2013]2号）有关规定执行，具体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体检、考察不合格的或考察存在《浙江省国家公务员录用考察工作细则》规定不宜录用情形的，我局有权单方解除就业协议。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5.公示与聘用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体检、考察合格者正式确定为拟聘用对象，拟聘用对象在青田县人民政府信息公开网、青田人社公众号向社会公示7个工作日，对拟聘人员没有异议或反映有问题经查实不影响聘用的，按聘用审批权限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聘用人员列入事业编制管理，与学校签订五年服务期限的事业单位聘用合同，并按规定约定试用期。试用期满后，考核合格者，予以正式聘用；不合格的，取消聘用。正式聘用后按《青田县中小学教师管理工作规定》(青教人〔2020〕9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6.疫情防控要求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为保护您和他人的生命安全和身体健康，保障招聘会正常有序进行，请参加招聘的考生务必严格按照浙江省、金华市新型冠状病毒肺炎疫情防控工作领导小组及浙江师范大学疫情防控要求，做好个人疫情防控。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7.其他事项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（1）2022届毕业生必须在报到前取得《毕业证书》；未取得《教师资格证书》的毕业生，必须在一年试用期内取得。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（2）应聘人员资格审核贯穿招聘工作全过程。应聘人员提交的报名信息应当真实、准确、有效。凡提供虚假信息和材料，或有意隐瞒本人真实情况的，一经查实，即取消招聘资格。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（3）本次招聘考务工作由青田县人力资源和社会保障局、青田县教育局组织实施。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（4）本公告未尽事宜，由青田县人力资源和社会保障局、青田县教育局负责解释。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如有变动，另行通知。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555" w:right="0" w:firstLine="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青田县教育局0578—6822583 0578—6824892  0578—6835193青田县人力资源和社会保障局 0578—6822270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附件1.《青田县赴浙江师范大学招聘中小学教师计划表》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2.《青田县教育局招聘中小学教师专业目录》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3.《青田县教育局应聘人员基本情况登记表》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125"/>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青田县人力资源和社会保障局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125"/>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青田县教育局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125"/>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2021年11月4日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55"/>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43"/>
          <w:szCs w:val="43"/>
          <w:bdr w:val="none" w:color="auto" w:sz="0" w:space="0"/>
          <w:shd w:val="clear" w:fill="FFFFFF"/>
        </w:rPr>
        <w:t>青田县赴浙江师范大学招聘中小学教师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43"/>
          <w:szCs w:val="43"/>
          <w:bdr w:val="none" w:color="auto" w:sz="0" w:space="0"/>
          <w:shd w:val="clear" w:fill="FFFFFF"/>
        </w:rPr>
        <w:t>计划表</w:t>
      </w:r>
    </w:p>
    <w:tbl>
      <w:tblPr>
        <w:tblW w:w="0" w:type="auto"/>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0"/>
        <w:gridCol w:w="1950"/>
        <w:gridCol w:w="2160"/>
        <w:gridCol w:w="37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tblCellSpacing w:w="0" w:type="dxa"/>
          <w:jc w:val="center"/>
        </w:trPr>
        <w:tc>
          <w:tcPr>
            <w:tcW w:w="63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序号</w:t>
            </w:r>
          </w:p>
        </w:tc>
        <w:tc>
          <w:tcPr>
            <w:tcW w:w="195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招聘学段与学科</w:t>
            </w:r>
          </w:p>
        </w:tc>
        <w:tc>
          <w:tcPr>
            <w:tcW w:w="2160" w:type="dxa"/>
            <w:tcBorders>
              <w:top w:val="single" w:color="000000" w:sz="6" w:space="0"/>
              <w:left w:val="nil"/>
              <w:bottom w:val="single" w:color="auto"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招聘职数</w:t>
            </w:r>
          </w:p>
        </w:tc>
        <w:tc>
          <w:tcPr>
            <w:tcW w:w="3780" w:type="dxa"/>
            <w:tcBorders>
              <w:top w:val="single" w:color="000000" w:sz="6" w:space="0"/>
              <w:left w:val="nil"/>
              <w:bottom w:val="single" w:color="auto"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高中政治</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5</w:t>
            </w:r>
          </w:p>
        </w:tc>
        <w:tc>
          <w:tcPr>
            <w:tcW w:w="378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1.全日制普通高校师范类专业2022年应届本科毕业生；所学专业相符。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2.全日制普通高校非师范类专业2022年应届本科毕业生，必须是浙江省内生源普通类且高考录取分数线在588分及以上，所学专业相符或相近。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3.2022年毕业的硕士及以上研究生（大陆的，要求为全日制毕业生，所学专业相符或相近；港澳台、海外的，要求本科为大陆公办全日制院校毕业且硕士学位经教育部认证，本科或研究生所学专业相符或相近）。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注：报名应聘青田中学岗位须是浙江省内生源普通类且高考录取分数线在588分及以上。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高中历史</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6（其中青田中学1）</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3</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高中地理</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4</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4</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高中物理</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3（其中青田中学1）</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5</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高中心理学</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3</w:t>
            </w:r>
            <w:r>
              <w:rPr>
                <w:rFonts w:hint="eastAsia" w:ascii="宋体" w:hAnsi="宋体" w:eastAsia="宋体" w:cs="宋体"/>
                <w:sz w:val="18"/>
                <w:szCs w:val="18"/>
                <w:bdr w:val="none" w:color="auto" w:sz="0" w:space="0"/>
              </w:rPr>
              <w:t>（其中县职技校2）</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6</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高中教育学</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w:t>
            </w:r>
            <w:r>
              <w:rPr>
                <w:rFonts w:hint="eastAsia" w:ascii="宋体" w:hAnsi="宋体" w:eastAsia="宋体" w:cs="宋体"/>
                <w:sz w:val="18"/>
                <w:szCs w:val="18"/>
                <w:bdr w:val="none" w:color="auto" w:sz="0" w:space="0"/>
              </w:rPr>
              <w:t>（县职技校1）</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7</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高中体育</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2（县职技校2）</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8</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高中语文</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5（其中县职技校3）</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9</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高中数学</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4（其中</w:t>
            </w:r>
            <w:r>
              <w:rPr>
                <w:rFonts w:hint="eastAsia" w:ascii="宋体" w:hAnsi="宋体" w:eastAsia="宋体" w:cs="宋体"/>
                <w:sz w:val="19"/>
                <w:szCs w:val="19"/>
                <w:bdr w:val="none" w:color="auto" w:sz="0" w:space="0"/>
              </w:rPr>
              <w:t>青田中学1，</w:t>
            </w:r>
            <w:r>
              <w:rPr>
                <w:rFonts w:hint="eastAsia" w:ascii="宋体" w:hAnsi="宋体" w:eastAsia="宋体" w:cs="宋体"/>
                <w:sz w:val="18"/>
                <w:szCs w:val="18"/>
                <w:bdr w:val="none" w:color="auto" w:sz="0" w:space="0"/>
              </w:rPr>
              <w:t>县职技校3）</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10</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中学语文</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18</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11</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中学数学</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18</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12</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中学英语</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6</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13</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初中社会（政史地）</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8</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14</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中小学科学（理化生）</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6</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15</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中小学音乐</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3</w:t>
            </w:r>
          </w:p>
        </w:tc>
        <w:tc>
          <w:tcPr>
            <w:tcW w:w="378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青田县户籍，且符合上述条件之一。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16</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中小学体育</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6</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17</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小学语文</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18</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小学数学</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19</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小学英语</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20</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特殊教育</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w:t>
            </w:r>
          </w:p>
        </w:tc>
        <w:tc>
          <w:tcPr>
            <w:tcW w:w="3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全日制普通高校2022年应届专科及以上毕业生，所学专业必须相符。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21</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中职电子商务</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3（</w:t>
            </w:r>
            <w:r>
              <w:rPr>
                <w:rFonts w:hint="eastAsia" w:ascii="宋体" w:hAnsi="宋体" w:eastAsia="宋体" w:cs="宋体"/>
                <w:sz w:val="18"/>
                <w:szCs w:val="18"/>
                <w:bdr w:val="none" w:color="auto" w:sz="0" w:space="0"/>
              </w:rPr>
              <w:t>县职技校3</w:t>
            </w:r>
            <w:r>
              <w:rPr>
                <w:rFonts w:hint="eastAsia" w:ascii="宋体" w:hAnsi="宋体" w:eastAsia="宋体" w:cs="宋体"/>
                <w:sz w:val="19"/>
                <w:szCs w:val="19"/>
                <w:bdr w:val="none" w:color="auto" w:sz="0" w:space="0"/>
              </w:rPr>
              <w:t>）</w:t>
            </w:r>
          </w:p>
        </w:tc>
        <w:tc>
          <w:tcPr>
            <w:tcW w:w="378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9"/>
                <w:szCs w:val="19"/>
                <w:bdr w:val="none" w:color="auto" w:sz="0" w:space="0"/>
              </w:rPr>
              <w:t>全日制普通高校2022年应届本科及以上毕业生，所学专业必须相符。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22</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中职财务管理</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w:t>
            </w:r>
            <w:r>
              <w:rPr>
                <w:rFonts w:hint="eastAsia" w:ascii="宋体" w:hAnsi="宋体" w:eastAsia="宋体" w:cs="宋体"/>
                <w:sz w:val="18"/>
                <w:szCs w:val="18"/>
                <w:bdr w:val="none" w:color="auto" w:sz="0" w:space="0"/>
              </w:rPr>
              <w:t>县职技校2</w:t>
            </w:r>
            <w:r>
              <w:rPr>
                <w:rFonts w:hint="eastAsia" w:ascii="宋体" w:hAnsi="宋体" w:eastAsia="宋体" w:cs="宋体"/>
                <w:sz w:val="19"/>
                <w:szCs w:val="19"/>
                <w:bdr w:val="none" w:color="auto" w:sz="0" w:space="0"/>
              </w:rPr>
              <w:t>）</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23</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中职机械设计及其自动化</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3（</w:t>
            </w:r>
            <w:r>
              <w:rPr>
                <w:rFonts w:hint="eastAsia" w:ascii="宋体" w:hAnsi="宋体" w:eastAsia="宋体" w:cs="宋体"/>
                <w:sz w:val="18"/>
                <w:szCs w:val="18"/>
                <w:bdr w:val="none" w:color="auto" w:sz="0" w:space="0"/>
              </w:rPr>
              <w:t>县职技校3</w:t>
            </w:r>
            <w:r>
              <w:rPr>
                <w:rFonts w:hint="eastAsia" w:ascii="宋体" w:hAnsi="宋体" w:eastAsia="宋体" w:cs="宋体"/>
                <w:sz w:val="19"/>
                <w:szCs w:val="19"/>
                <w:bdr w:val="none" w:color="auto" w:sz="0" w:space="0"/>
              </w:rPr>
              <w:t>）</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24</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中职机电技术</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4（</w:t>
            </w:r>
            <w:r>
              <w:rPr>
                <w:rFonts w:hint="eastAsia" w:ascii="宋体" w:hAnsi="宋体" w:eastAsia="宋体" w:cs="宋体"/>
                <w:sz w:val="18"/>
                <w:szCs w:val="18"/>
                <w:bdr w:val="none" w:color="auto" w:sz="0" w:space="0"/>
              </w:rPr>
              <w:t>县职技校4</w:t>
            </w:r>
            <w:r>
              <w:rPr>
                <w:rFonts w:hint="eastAsia" w:ascii="宋体" w:hAnsi="宋体" w:eastAsia="宋体" w:cs="宋体"/>
                <w:sz w:val="19"/>
                <w:szCs w:val="19"/>
                <w:bdr w:val="none" w:color="auto" w:sz="0" w:space="0"/>
              </w:rPr>
              <w:t>）</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0" w:type="dxa"/>
          <w:jc w:val="center"/>
        </w:trPr>
        <w:tc>
          <w:tcPr>
            <w:tcW w:w="63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25</w:t>
            </w: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中职建筑</w:t>
            </w:r>
          </w:p>
        </w:tc>
        <w:tc>
          <w:tcPr>
            <w:tcW w:w="21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2</w:t>
            </w:r>
          </w:p>
        </w:tc>
        <w:tc>
          <w:tcPr>
            <w:tcW w:w="378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注：招聘计划可视生源情况进行调整。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drawing>
          <wp:inline distT="0" distB="0" distL="114300" distR="114300">
            <wp:extent cx="5972175" cy="44481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972175" cy="4448175"/>
                    </a:xfrm>
                    <a:prstGeom prst="rect">
                      <a:avLst/>
                    </a:prstGeom>
                    <a:noFill/>
                    <a:ln w="9525">
                      <a:noFill/>
                    </a:ln>
                  </pic:spPr>
                </pic:pic>
              </a:graphicData>
            </a:graphic>
          </wp:inline>
        </w:drawing>
      </w: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43"/>
          <w:szCs w:val="43"/>
          <w:bdr w:val="none" w:color="auto" w:sz="0" w:space="0"/>
          <w:shd w:val="clear" w:fill="FFFFFF"/>
        </w:rPr>
        <w:t>青田县教育局应聘人员基本情况登记表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43"/>
          <w:szCs w:val="43"/>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报考科类：                         №</w:t>
      </w:r>
    </w:p>
    <w:tbl>
      <w:tblPr>
        <w:tblW w:w="982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80"/>
        <w:gridCol w:w="1493"/>
        <w:gridCol w:w="1319"/>
        <w:gridCol w:w="1041"/>
        <w:gridCol w:w="1458"/>
        <w:gridCol w:w="336"/>
        <w:gridCol w:w="938"/>
        <w:gridCol w:w="2383"/>
        <w:gridCol w:w="14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5" w:hRule="atLeast"/>
          <w:tblCellSpacing w:w="0" w:type="dxa"/>
          <w:jc w:val="center"/>
        </w:trPr>
        <w:tc>
          <w:tcPr>
            <w:tcW w:w="141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姓名</w:t>
            </w:r>
          </w:p>
        </w:tc>
        <w:tc>
          <w:tcPr>
            <w:tcW w:w="14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性别</w:t>
            </w:r>
          </w:p>
        </w:tc>
        <w:tc>
          <w:tcPr>
            <w:tcW w:w="8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籍贯</w:t>
            </w:r>
          </w:p>
        </w:tc>
        <w:tc>
          <w:tcPr>
            <w:tcW w:w="1065"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出生年月</w:t>
            </w:r>
          </w:p>
        </w:tc>
        <w:tc>
          <w:tcPr>
            <w:tcW w:w="14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0" w:hRule="atLeast"/>
          <w:tblCellSpacing w:w="0" w:type="dxa"/>
          <w:jc w:val="center"/>
        </w:trPr>
        <w:tc>
          <w:tcPr>
            <w:tcW w:w="14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毕业时间</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毕业院校及专业</w:t>
            </w:r>
          </w:p>
        </w:tc>
        <w:tc>
          <w:tcPr>
            <w:tcW w:w="2895"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学历</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tblCellSpacing w:w="0" w:type="dxa"/>
          <w:jc w:val="center"/>
        </w:trPr>
        <w:tc>
          <w:tcPr>
            <w:tcW w:w="14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是否成教</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□否</w:t>
            </w: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是否高职</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□否</w:t>
            </w:r>
          </w:p>
        </w:tc>
        <w:tc>
          <w:tcPr>
            <w:tcW w:w="126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是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师范类</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□否</w:t>
            </w:r>
          </w:p>
        </w:tc>
        <w:tc>
          <w:tcPr>
            <w:tcW w:w="13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是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受过处分</w:t>
            </w:r>
          </w:p>
        </w:tc>
        <w:tc>
          <w:tcPr>
            <w:tcW w:w="14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blCellSpacing w:w="0" w:type="dxa"/>
          <w:jc w:val="center"/>
        </w:trPr>
        <w:tc>
          <w:tcPr>
            <w:tcW w:w="141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家庭住址</w:t>
            </w:r>
          </w:p>
        </w:tc>
        <w:tc>
          <w:tcPr>
            <w:tcW w:w="3600"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60" w:type="dxa"/>
            <w:gridSpan w:val="2"/>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联系电话</w:t>
            </w:r>
          </w:p>
        </w:tc>
        <w:tc>
          <w:tcPr>
            <w:tcW w:w="355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住宅电话：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blCellSpacing w:w="0" w:type="dxa"/>
          <w:jc w:val="center"/>
        </w:trPr>
        <w:tc>
          <w:tcPr>
            <w:tcW w:w="14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600"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55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手机：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tblCellSpacing w:w="0" w:type="dxa"/>
          <w:jc w:val="center"/>
        </w:trPr>
        <w:tc>
          <w:tcPr>
            <w:tcW w:w="14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高考分数</w:t>
            </w:r>
          </w:p>
        </w:tc>
        <w:tc>
          <w:tcPr>
            <w:tcW w:w="3600" w:type="dxa"/>
            <w:gridSpan w:val="3"/>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60" w:type="dxa"/>
            <w:gridSpan w:val="2"/>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高考成绩位次号</w:t>
            </w:r>
          </w:p>
        </w:tc>
        <w:tc>
          <w:tcPr>
            <w:tcW w:w="3555"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60" w:hRule="atLeast"/>
          <w:tblCellSpacing w:w="0" w:type="dxa"/>
          <w:jc w:val="center"/>
        </w:trPr>
        <w:tc>
          <w:tcPr>
            <w:tcW w:w="14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本人承诺</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如所填内容与事实不符，一切后果自负。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                              承诺人（签名）：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5"/>
              <w:rPr>
                <w:sz w:val="21"/>
                <w:szCs w:val="21"/>
              </w:rP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                            20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30" w:hRule="atLeast"/>
          <w:tblCellSpacing w:w="0" w:type="dxa"/>
          <w:jc w:val="center"/>
        </w:trPr>
        <w:tc>
          <w:tcPr>
            <w:tcW w:w="288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审核意见及签名</w:t>
            </w:r>
          </w:p>
        </w:tc>
        <w:tc>
          <w:tcPr>
            <w:tcW w:w="6945"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rPr>
                <w:sz w:val="21"/>
                <w:szCs w:val="21"/>
              </w:rPr>
            </w:pPr>
            <w:r>
              <w:rPr>
                <w:rFonts w:ascii="华文行楷" w:hAnsi="华文行楷" w:eastAsia="华文行楷" w:cs="华文行楷"/>
                <w:sz w:val="36"/>
                <w:szCs w:val="36"/>
                <w:bdr w:val="none" w:color="auto" w:sz="0" w:space="0"/>
              </w:rPr>
              <w:t>符合条件，同意该考生参加考试。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   审核人：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0" w:hRule="atLeast"/>
          <w:tblCellSpacing w:w="0" w:type="dxa"/>
          <w:jc w:val="center"/>
        </w:trPr>
        <w:tc>
          <w:tcPr>
            <w:tcW w:w="288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24"/>
                <w:szCs w:val="24"/>
                <w:bdr w:val="none" w:color="auto" w:sz="0" w:space="0"/>
              </w:rPr>
              <w:t>温馨提醒</w:t>
            </w:r>
          </w:p>
        </w:tc>
        <w:tc>
          <w:tcPr>
            <w:tcW w:w="6945" w:type="dxa"/>
            <w:gridSpan w:val="7"/>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应聘对象凭此表参加考试，请注意保存。</w:t>
            </w:r>
          </w:p>
        </w:tc>
      </w:tr>
    </w:tbl>
    <w:p>
      <w:pPr>
        <w:rPr>
          <w:rFonts w:hint="eastAsia" w:ascii="微软雅黑" w:hAnsi="微软雅黑" w:eastAsia="微软雅黑" w:cs="微软雅黑"/>
          <w:i w:val="0"/>
          <w:caps w:val="0"/>
          <w:color w:val="01529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55F53"/>
    <w:rsid w:val="74A55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more"/>
    <w:basedOn w:val="5"/>
    <w:uiPriority w:val="0"/>
    <w:rPr>
      <w:rFonts w:hint="eastAsia" w:ascii="宋体" w:hAnsi="宋体" w:eastAsia="宋体" w:cs="宋体"/>
      <w:bdr w:val="none" w:color="auto" w:sz="0" w:space="0"/>
    </w:rPr>
  </w:style>
  <w:style w:type="character" w:customStyle="1" w:styleId="10">
    <w:name w:val="bds_more1"/>
    <w:basedOn w:val="5"/>
    <w:uiPriority w:val="0"/>
    <w:rPr>
      <w:bdr w:val="none" w:color="auto" w:sz="0" w:space="0"/>
    </w:rPr>
  </w:style>
  <w:style w:type="character" w:customStyle="1" w:styleId="11">
    <w:name w:val="bds_more2"/>
    <w:basedOn w:val="5"/>
    <w:uiPriority w:val="0"/>
    <w:rPr>
      <w:bdr w:val="none" w:color="auto" w:sz="0" w:space="0"/>
    </w:rPr>
  </w:style>
  <w:style w:type="character" w:customStyle="1" w:styleId="12">
    <w:name w:val="bds_nopic"/>
    <w:basedOn w:val="5"/>
    <w:uiPriority w:val="0"/>
  </w:style>
  <w:style w:type="character" w:customStyle="1" w:styleId="13">
    <w:name w:val="bds_nopic1"/>
    <w:basedOn w:val="5"/>
    <w:uiPriority w:val="0"/>
  </w:style>
  <w:style w:type="character" w:customStyle="1" w:styleId="14">
    <w:name w:val="bds_nopic2"/>
    <w:basedOn w:val="5"/>
    <w:uiPriority w:val="0"/>
  </w:style>
  <w:style w:type="character" w:customStyle="1" w:styleId="15">
    <w:name w:val="bds_more3"/>
    <w:basedOn w:val="5"/>
    <w:uiPriority w:val="0"/>
    <w:rPr>
      <w:bdr w:val="none" w:color="auto" w:sz="0" w:space="0"/>
    </w:rPr>
  </w:style>
  <w:style w:type="character" w:customStyle="1" w:styleId="16">
    <w:name w:val="bds_more4"/>
    <w:basedOn w:val="5"/>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2021-11-04T13:29:00Z</dcterms:created>
  <dc:creator>Administrator</dc:creator>
  <cp:lastModifiedBy>Administrator</cp:lastModifiedBy>
  <dcterms:modified xsi:type="dcterms:W3CDTF">2021-11-04T15:26:05Z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