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1.《黔江区2021年第四季度考核招聘事业单位工作人员报名登记表》（附件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）；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 xml:space="preserve"> 报考人员若属于机关事业单位工作人员，须提供《机关事业单位工作人员诚信应聘承诺》（附件</w:t>
      </w:r>
      <w:r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3.居民身份证原件及复印件；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本人学历（学位）证书、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>教师资格证书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原件及复印件；</w:t>
      </w:r>
      <w:r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5.近期1寸彩色免冠登记照1张；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6.留学人员在海外取得学历学位的，须提供经教育部留学服务中心进行认证的《国外学历学位认证书》原件及复印件；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应届毕业生须提供经学校签章的应届毕业生就业推荐表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成绩单等材料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岗位一览表中要求提供的其它证明材料。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259819C1"/>
    <w:rsid w:val="29BB2EA5"/>
    <w:rsid w:val="2F3A1DA7"/>
    <w:rsid w:val="33FD6D05"/>
    <w:rsid w:val="35F3655E"/>
    <w:rsid w:val="3BCE3ED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2021-11-24T07:32:37Z</cp:lastPrinted>
  <dcterms:modified xsi:type="dcterms:W3CDTF">2021-11-24T07:32:48Z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E7E9E7646DEC495E88B08EA9D341F660</vt:lpwstr>
  </property>
</Properties>
</file>