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2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桐乡市面向普通高校应届优秀毕业生招聘2022学年教师岗位计划表（综合专场）</w:t>
      </w:r>
    </w:p>
    <w:tbl>
      <w:tblPr>
        <w:tblW w:w="0" w:type="auto"/>
        <w:jc w:val="center"/>
        <w:tblCellSpacing w:w="0" w:type="dxa"/>
        <w:shd w:val="clear"/>
        <w:tblLayout w:type="autofit"/>
        <w:tblCellMar>
          <w:top w:w="15" w:type="dxa"/>
          <w:left w:w="15" w:type="dxa"/>
          <w:bottom w:w="15" w:type="dxa"/>
          <w:right w:w="15" w:type="dxa"/>
        </w:tblCellMar>
      </w:tblPr>
      <w:tblGrid>
        <w:gridCol w:w="709"/>
        <w:gridCol w:w="1137"/>
        <w:gridCol w:w="1492"/>
        <w:gridCol w:w="611"/>
        <w:gridCol w:w="5307"/>
        <w:gridCol w:w="1582"/>
        <w:gridCol w:w="974"/>
        <w:gridCol w:w="961"/>
        <w:gridCol w:w="705"/>
      </w:tblGrid>
      <w:tr>
        <w:tblPrEx>
          <w:shd w:val="clear"/>
          <w:tblCellMar>
            <w:top w:w="15" w:type="dxa"/>
            <w:left w:w="15" w:type="dxa"/>
            <w:bottom w:w="15" w:type="dxa"/>
            <w:right w:w="15" w:type="dxa"/>
          </w:tblCellMar>
        </w:tblPrEx>
        <w:trPr>
          <w:trHeight w:val="90" w:hRule="atLeast"/>
          <w:tblCellSpacing w:w="0" w:type="dxa"/>
          <w:jc w:val="center"/>
        </w:trPr>
        <w:tc>
          <w:tcPr>
            <w:tcW w:w="75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学段</w:t>
            </w:r>
          </w:p>
        </w:tc>
        <w:tc>
          <w:tcPr>
            <w:tcW w:w="12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单位名称</w:t>
            </w:r>
          </w:p>
        </w:tc>
        <w:tc>
          <w:tcPr>
            <w:tcW w:w="15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招聘岗位</w:t>
            </w:r>
          </w:p>
        </w:tc>
        <w:tc>
          <w:tcPr>
            <w:tcW w:w="6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招聘人数</w:t>
            </w:r>
          </w:p>
        </w:tc>
        <w:tc>
          <w:tcPr>
            <w:tcW w:w="60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专业要求</w:t>
            </w:r>
          </w:p>
        </w:tc>
        <w:tc>
          <w:tcPr>
            <w:tcW w:w="17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其他条件</w:t>
            </w:r>
          </w:p>
        </w:tc>
        <w:tc>
          <w:tcPr>
            <w:tcW w:w="106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学历</w:t>
            </w:r>
          </w:p>
        </w:tc>
        <w:tc>
          <w:tcPr>
            <w:tcW w:w="105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学位</w:t>
            </w:r>
          </w:p>
        </w:tc>
        <w:tc>
          <w:tcPr>
            <w:tcW w:w="5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户籍</w:t>
            </w:r>
          </w:p>
        </w:tc>
      </w:tr>
      <w:tr>
        <w:tblPrEx>
          <w:tblCellMar>
            <w:top w:w="15" w:type="dxa"/>
            <w:left w:w="15" w:type="dxa"/>
            <w:bottom w:w="15" w:type="dxa"/>
            <w:right w:w="15" w:type="dxa"/>
          </w:tblCellMar>
        </w:tblPrEx>
        <w:trPr>
          <w:trHeight w:val="255" w:hRule="atLeast"/>
          <w:tblCellSpacing w:w="0" w:type="dxa"/>
          <w:jc w:val="center"/>
        </w:trPr>
        <w:tc>
          <w:tcPr>
            <w:tcW w:w="7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高中段</w:t>
            </w:r>
          </w:p>
        </w:tc>
        <w:tc>
          <w:tcPr>
            <w:tcW w:w="121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浙江省桐乡市高级中学</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数学竞赛教练</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数学类、统计学类、课程与教学论（数学）、学科教学（数学）专业</w:t>
            </w:r>
            <w:bookmarkStart w:id="0" w:name="_GoBack"/>
            <w:bookmarkEnd w:id="0"/>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高中阶段曾获学科奥赛（省级赛区）一等奖及以上或参加大学生数学竞赛获全国决赛二等奖及以上</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不限</w:t>
            </w: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物理竞赛教练</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物理学类；地球物理学类；课程与教学论（物理）、学科教学（物理）专业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高中阶段曾获学科奥赛（省级赛区）一等奖及以上或参加大学生物理学科专业类竞赛获全国一等奖及以上</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高中物理教师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物理学类；地球物理学类；课程与教学论（物理）、学科教学（物理）专业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浙江省桐乡第一中学</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高中历史教师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历史学类；课程与教学论（历史）、学科教学（历史）专业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高中物理教师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物理学类；地球物理学类；课程与教学论（物理）、学科教学（物理）专业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高中心理教师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心理学类专业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桐乡市茅盾中学</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高中政治教师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法学门类；课程与教学论（思政）、学科教学（思政）专业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高中物理教师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物理学类、地球物理学类、课程与教学论（物理）、学科教学（物理）专业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高中心理教师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心理学类专业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高中信息技术教师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电子信息类；计算机类；教育技术学、现代教育技术专业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中职类</w:t>
            </w:r>
          </w:p>
        </w:tc>
        <w:tc>
          <w:tcPr>
            <w:tcW w:w="121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桐乡技师学院</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中职体育教师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体育教育专业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机械教师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机械设计制造及其自动化专业、机械工程、机械电子工程、机械工艺技术、工业设计、职业技术教育（加工制造方向）专业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工程造价教师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工程造价专业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电子商务教师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电子商务类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汽修教师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车辆工程、汽车维修工程教育专业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烹饪教师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食品科学与工程、烹饪与营养教育专业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中职计算机教师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数据科学与大数据技术、物联网工程、虚拟现实技术专业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服装工艺教师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服装设计与工程、服装设计与工艺教育、服装与服饰设计专业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电子技术教师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电子信息工程、电子科学与技术、应用电子技术教育、电气工程与智能控制、机器人工程、工业智能专业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初中段</w:t>
            </w:r>
          </w:p>
        </w:tc>
        <w:tc>
          <w:tcPr>
            <w:tcW w:w="121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面向桐乡各初中统配</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初中语文教师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中国语言文学类；教育学、课程与教学论（语文）、学科教学（语文）专业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初中数学教师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数学类；统计学类；教育学、课程与教学论（数学）、学科教学（数学）专业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初中英语教师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英语、商务英语、英语语言文学、英语笔译、英语口译、课程与教学论（英语）、学科教学（英语）专业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初中科学教师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物理学类；化学类；生物科学类；教育学、科学教育、课程与教学论（物理、化学、生物）、学科教学（物理、化学、生物）专业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初中社会教师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历史学类；法学门类；地理科学类；教育学、人文教育、课程与教学论（思政、历史、地理）、学科教学（思政、历史、地理）专业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初中思政教师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法学门类；哲学门类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初中音乐教师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音乐学、舞蹈学、舞蹈编导、作曲与作曲技术理论、音乐表演、舞蹈表演、表演专业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初中体育教师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体育学类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初中美术教师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美术学类；设计学类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初中信息技术教师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电子信息类；计算机类；教育技术学、现代教育技术专业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小学段</w:t>
            </w:r>
          </w:p>
        </w:tc>
        <w:tc>
          <w:tcPr>
            <w:tcW w:w="121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面向桐乡各小学统配</w:t>
            </w:r>
            <w:r>
              <w:rPr>
                <w:bdr w:val="none" w:color="auto" w:sz="0" w:space="0"/>
              </w:rPr>
              <w:br w:type="textWrapping"/>
            </w:r>
            <w:r>
              <w:rPr>
                <w:bdr w:val="none" w:color="auto" w:sz="0" w:space="0"/>
              </w:rPr>
              <w:t>（其中小学语文和小学数学岗统配见本表备注）</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小学语文教师（1）</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8</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中国语言文学类；新闻传播学类；教育学、小学教育、课程与教学论（语文）、学科教学（语文）专业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restart"/>
            <w:tcBorders>
              <w:top w:val="nil"/>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研究生及以上学历人员户籍不限，其余要求嘉兴生源或嘉兴户籍。</w:t>
            </w: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小学语文教师（2）</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8</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中国语言文学类；新闻传播学类；教育学、小学教育、课程与教学论（语文）、学科教学（语文）专业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小学数学教师（1）</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8</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数学类；统计学类；教育学、小学教育、课程与教学论（数学）、学科教学（数学）专业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小学数学教师（2）</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8</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数学类；统计学类；教育学、小学教育、课程与教学论（数学）、学科教学（数学）专业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小学英语教师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4</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英语、商务英语、英语语言文学、英语笔译、英语口译、外国语言学及应用语言学、课程与教学论（英语）、学科教学（英语）专业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小学科学教师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4</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物理学类；化学类；生物科学类；教育学、科学教育、课程与教学论（物理、化学、生物）、学科教学（物理、化学、生物）专业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小学全科（文）教师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4</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文学门类、教育学类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小学全科（理）教师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经济学门类；理学门类；工学门类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小学音乐教师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5</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音乐学、舞蹈学、舞蹈编导、作曲与作曲技术理论、音乐表演、舞蹈表演、表演专业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小学体育教师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5</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体育学类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小学美术教师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美术学类；设计学类</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330" w:hRule="atLeast"/>
          <w:tblCellSpacing w:w="0" w:type="dxa"/>
          <w:jc w:val="center"/>
        </w:trPr>
        <w:tc>
          <w:tcPr>
            <w:tcW w:w="7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小学信息技术教师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电子信息类；计算机类；教育技术学、现代教育技术专业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学前教育</w:t>
            </w: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面向桐乡各幼儿园统配</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幼儿教师</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4</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学前教育专业</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w:t>
            </w: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585" w:type="dxa"/>
            <w:vMerge w:val="continue"/>
            <w:tcBorders>
              <w:top w:val="nil"/>
              <w:left w:val="nil"/>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255" w:hRule="atLeast"/>
          <w:tblCellSpacing w:w="0" w:type="dxa"/>
          <w:jc w:val="center"/>
        </w:trPr>
        <w:tc>
          <w:tcPr>
            <w:tcW w:w="7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合计</w:t>
            </w:r>
          </w:p>
        </w:tc>
        <w:tc>
          <w:tcPr>
            <w:tcW w:w="6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100</w:t>
            </w:r>
          </w:p>
        </w:tc>
        <w:tc>
          <w:tcPr>
            <w:tcW w:w="6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255" w:hRule="atLeast"/>
          <w:tblCellSpacing w:w="0" w:type="dxa"/>
          <w:jc w:val="center"/>
        </w:trPr>
        <w:tc>
          <w:tcPr>
            <w:tcW w:w="14700" w:type="dxa"/>
            <w:gridSpan w:val="9"/>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备注：小学语文教师（1）、小学数学教师（1）岗位面向桐乡市北港实验小学教育集团、桐乡市振东实验小学教育集团、桐乡市茅盾实验小学教育集团、桐乡市濮院小学教育集团、桐乡市崇德小学教育集团、桐乡市湘溪教育集团、桐乡市高桥实验学校教育集团统配。小学语文教师（2）、小学数学教师（2）岗位面向除以上集团学校外，其他桐乡市各小学统配。</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917CA"/>
    <w:rsid w:val="55C9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2022-01-22T14:08:00Z</dcterms:created>
  <dc:creator>Administrator</dc:creator>
  <cp:lastModifiedBy>Administrator</cp:lastModifiedBy>
  <dcterms:modified xsi:type="dcterms:W3CDTF">2022-01-22T14:09:02Z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