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eastAsia="仿宋_GB2312"/>
          <w:sz w:val="36"/>
          <w:szCs w:val="36"/>
        </w:rPr>
      </w:pPr>
      <w:r>
        <w:rPr>
          <w:rFonts w:hint="eastAsia" w:ascii="黑体" w:eastAsia="黑体"/>
          <w:bCs/>
          <w:sz w:val="32"/>
          <w:szCs w:val="32"/>
        </w:rPr>
        <w:t xml:space="preserve">附件1   </w:t>
      </w:r>
      <w:r>
        <w:rPr>
          <w:rFonts w:hint="eastAsia" w:ascii="方正小标宋简体" w:eastAsia="方正小标宋简体"/>
          <w:bCs/>
          <w:sz w:val="36"/>
          <w:szCs w:val="36"/>
        </w:rPr>
        <w:t>绵阳实验高级中学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2022年直接考核招聘专业技术人员岗位和条件一览表</w:t>
      </w:r>
    </w:p>
    <w:tbl>
      <w:tblPr>
        <w:tblStyle w:val="3"/>
        <w:tblpPr w:leftFromText="180" w:rightFromText="180" w:vertAnchor="text" w:horzAnchor="page" w:tblpX="1836" w:tblpY="120"/>
        <w:tblOverlap w:val="never"/>
        <w:tblW w:w="13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99"/>
        <w:gridCol w:w="992"/>
        <w:gridCol w:w="987"/>
        <w:gridCol w:w="660"/>
        <w:gridCol w:w="7077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招聘职位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招聘人数</w:t>
            </w:r>
          </w:p>
        </w:tc>
        <w:tc>
          <w:tcPr>
            <w:tcW w:w="1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年龄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学位</w:t>
            </w:r>
          </w:p>
        </w:tc>
        <w:tc>
          <w:tcPr>
            <w:tcW w:w="7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专业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语文教师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1991年9月1日及以后出生</w:t>
            </w:r>
          </w:p>
          <w:p>
            <w:pPr>
              <w:spacing w:line="4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普通高等教育本科及以上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取得学历相应学位</w:t>
            </w:r>
          </w:p>
        </w:tc>
        <w:tc>
          <w:tcPr>
            <w:tcW w:w="7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本科：汉语言文学、汉语言、汉语国际教育、中国语言与文化、应用语言学</w:t>
            </w:r>
          </w:p>
          <w:p>
            <w:pPr>
              <w:spacing w:line="300" w:lineRule="exact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研究生：语言学及应用语言学、汉语言文字学、中国古代文学、中国现当代文学、比较文学与世界文学、汉语国际教育、学科教学（汉语言文学）、学科教学（语文）、课程与教学论。</w:t>
            </w:r>
          </w:p>
        </w:tc>
        <w:tc>
          <w:tcPr>
            <w:tcW w:w="223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具有高中相应学科教师资格证；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大学本科学历为部属师范院校2023年应届公费师范毕业生；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3、研究生为2023年应届毕业生，但本科或研究生阶段应有师范大学就读经历。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数学教师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本科：数学与应用数学、信息与计算科学、数理基础科学</w:t>
            </w:r>
          </w:p>
          <w:p>
            <w:pPr>
              <w:spacing w:line="300" w:lineRule="exact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研究生：数学、基础数学、计算数学、应用数学、概率论与数理统计、运筹学与控制论、数学教育、学科教学（数学）、课程与教学论。</w:t>
            </w:r>
          </w:p>
        </w:tc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英语教师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本科：英语、英语语言文学、英语翻译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研究生：英语语言文学、英语翻译、英语口译、英语笔译、学科教学（英语）、</w:t>
            </w:r>
            <w:r>
              <w:rPr>
                <w:rFonts w:hint="eastAsia" w:ascii="仿宋" w:hAnsi="仿宋" w:eastAsia="仿宋" w:cs="仿宋"/>
                <w:szCs w:val="21"/>
              </w:rPr>
              <w:t>课程与教学论</w:t>
            </w:r>
          </w:p>
        </w:tc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化学教师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本科：化学、应用化学、化学生物学、分子科学与工程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研究生：无机化学、分析化学、有机化学、物理化学（含：化学物理）、高分子化学与物理、学科教学（化学）、课程与教学论</w:t>
            </w:r>
          </w:p>
        </w:tc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物理教师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本科：物理学、应用物理学、核物理、声学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研究生：物理学、理论物理、粒子物理与原子核物理、原子与分子物理、等离子体物理、凝聚态物理、声学、光学、无线电物理、学科教学（物理）、课程与教学论</w:t>
            </w:r>
          </w:p>
        </w:tc>
        <w:tc>
          <w:tcPr>
            <w:tcW w:w="2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E41BBB"/>
    <w:multiLevelType w:val="singleLevel"/>
    <w:tmpl w:val="BCE41BB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NWE3MmE2MzQ3ZWVlODFmZWJlNTZlMWViMGMyNDMifQ=="/>
  </w:docVars>
  <w:rsids>
    <w:rsidRoot w:val="4B4E0625"/>
    <w:rsid w:val="4B4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qFormat/>
    <w:uiPriority w:val="99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2022-08-25T05:04:00Z</dcterms:created>
  <dc:creator>yj</dc:creator>
  <cp:lastModifiedBy>yj</cp:lastModifiedBy>
  <dcterms:modified xsi:type="dcterms:W3CDTF">2022-08-25T05:05:19Z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BE0376DE40934F7FA8A48FEBEF32B604</vt:lpwstr>
  </property>
</Properties>
</file>