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41" w:beforeAutospacing="0" w:after="141" w:afterAutospacing="0" w:line="750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51"/>
          <w:szCs w:val="5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51"/>
          <w:szCs w:val="51"/>
          <w:bdr w:val="none" w:color="auto" w:sz="0" w:space="0"/>
          <w:shd w:val="clear" w:fill="FFFFFF"/>
        </w:rPr>
        <w:t>2023年庐江县银龄讲课教师招募公告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为进一步加强教师队伍建设，充分发挥退休教师优势资源，推进庐江教育优质均衡发展，根据《关于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印发庐江县银龄讲课计划实施方案的通知》精神，现就2023年庐江县银龄讲课教师招募工作有关事项公告如下：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一、招募对象及人数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招募对象为常驻我县已办理退休手续、年龄不超过65周岁的优秀退休教师（含县外退休后常住我县的教师）。2023年庐江县银龄讲课教师计划招募15名。招募岗位详见附件1。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二、招募条件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1.政治可靠、师德高尚、业务精良、甘于奉献、作风扎实；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2.身体健康，年龄65周岁（含）以下（以有效居民身份证为准，下同，1958年1月1日及以后出生）；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3.具有与招募岗位要求的教师资格证书；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4.教育教学经验丰富，具有中级及以上教师职称。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三、岗位职责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按照“岗位需求、人岗适宜”的原则，招募的退休教师根据自己的专业特长以承担课堂教学为主，对学生进行课后辅导服务，同时也可根据受援学校的教育教学需求进行听课评课、开设公开课、研讨课或专题讲座，指导青年教师、协助学校做好教学管理和开展教研活动等丰富多样的讲学活动，发挥示范和辐射作用，带动提升受援学校教育教学和管理水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四、招募程序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招募工作由县教体局从学校实际需要出发，遵循“公开、公平、自愿、择优”和“定校、定岗”原则，按以下程序进行。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（1）公布需求。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招募工作等相关信息在庐江县人民政府网站（www.lj.gov.cn）发布，同时在庐江教育微信公众号发布。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（2）自愿报名。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主要采用电子邮箱报名方式进行，也可于1月28日当天8:00-17:00携带以下纸质材料到县教体局2203室现场报名。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电子邮件报名时间：本公告发布之日起至2023年1月28日下午18:00止，以发送时间为准，逾期报名视为无效。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报考人员须提供以下6项材料：①填写好的《庐江县银龄讲课计划申请表》（附件2）；②本人有效居民身份证（正反面）；③教师资格证书；④专业技术职务资格证；⑤近六个月二级甲等以上综合性医院体检报告（体检报告最迟在签订协议前提供）；⑥符合考核赋分项目表彰证书。报考人员需将上述6项材料的清晰彩色扫描件（或电子照片），打包压缩成一个压缩包文件，并将文件命名为“招募岗位+姓名”，以电子邮件方式发送到指定电子邮箱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电子邮箱：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"mailto:ahljjszp@126.com"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ahljjszp@126.com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（3）资格审核、遴选。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县教体局对报名人员进行资格审核，符合招募岗位条件且不超过岗位招募计划数的，可直接确定为拟招募人员；超过岗位招募计划数的，按照“人岗相适、择优选用”原则，组织专家根据报名材料进行考核赋分（考核赋分标准详见附件3），并根据招募岗位计划数1:1的比例，按照考核成绩从高到低的顺序，确定为拟招募人员（若最后一名考核赋分成绩相同，取年龄小的）；对不足招募岗位计划数且符合其他岗位资格条件的，将对服从调配的报名人员，进行岗位间调配；对总体招募计划不足的，根据报名情况适时新增招募岗位再进行招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（4）公示公布。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经遴选调配后，对拟招募讲课教师进行公示（公示时间不少于5日）。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（5）资格复审及择岗。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公示无异议的拟招募讲课教师，需携带报名材料原件集中进行资格复审。资格复审合格的，按招募岗位依考核成绩从高到低的顺序进行现场自主择岗（岗位确认）。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（6）签订服务协议。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自主择岗（岗位确认）后，招募学校与拟招募讲课教师签订服务协议（附件4），协议一年一签，明确双方的权利和义务。服务期间，由县教体局组织跟踪评估发放工作经费，并按考核等次发放年终奖励性补助。经考核合格，用人单位有工作需求的可续签服务协议（不超过65周岁）。对不按照协议要求履行义务或身体原因不适合继续工作的，予以解除协议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（7）上岗任教。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2023年春季学期开学前，招募的讲课教师按学校通知的时间，按时上岗讲课，履行岗位职责。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五、保障措施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1）经费保障。退休教师服务期间人事关系、现享受的退休待遇不变。定期发放工作经费，工作经费主要用于向被招募的退休教师发放工作补助、购买意外保险费、异地授课交通补助等，由县财政按照每人每年5万元的标准统筹予以安排（附件5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2）政策保障。受援学校要为退休教师提供必要的工作条件。退休教师因病因伤发生的医疗费用，按本人医疗关系和有关规定办理。对于工作期间表现优秀的，可按照有关规定给予奖励。对于工作期间考核不合格的，解除协议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本次招募政策由庐江县教育体育局负责解释。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咨询电话：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县教体局人事科  0551-87338900（13625643468）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庐江县教育体育局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2023年1月18日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1.2023年度庐江县银龄讲课教师招募岗位表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2.庐江县银龄讲课计划申请表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3.考核赋分标准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4.银龄讲课协议书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5.庐江县银龄教师工作经费管理使用办法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2023年度庐江县银龄讲课教师招募岗位表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5"/>
        <w:gridCol w:w="1230"/>
        <w:gridCol w:w="1290"/>
        <w:gridCol w:w="2115"/>
        <w:gridCol w:w="231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招募岗位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招募计划</w:t>
            </w:r>
          </w:p>
        </w:tc>
        <w:tc>
          <w:tcPr>
            <w:tcW w:w="21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资格条件</w:t>
            </w:r>
          </w:p>
        </w:tc>
        <w:tc>
          <w:tcPr>
            <w:tcW w:w="23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YL2301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中职语文</w:t>
            </w:r>
          </w:p>
        </w:tc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1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具备高中或中职语文教师资格</w:t>
            </w:r>
          </w:p>
        </w:tc>
        <w:tc>
          <w:tcPr>
            <w:tcW w:w="23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合肥商贸科技学校汤池校区2名（学校适当给予一定的交通补贴）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YL2302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中职数学</w:t>
            </w:r>
          </w:p>
        </w:tc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1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具备高中或中职数学教师资格</w:t>
            </w:r>
          </w:p>
        </w:tc>
        <w:tc>
          <w:tcPr>
            <w:tcW w:w="23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合肥商贸科技学校汤池校区2名（学校适当给予一定的交通补贴）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YL2303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具备初中及以上语文教师资格</w:t>
            </w:r>
          </w:p>
        </w:tc>
        <w:tc>
          <w:tcPr>
            <w:tcW w:w="23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庐江四中1名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YL2304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初中政治</w:t>
            </w:r>
          </w:p>
        </w:tc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具备初中及以上政治教师资格</w:t>
            </w:r>
          </w:p>
        </w:tc>
        <w:tc>
          <w:tcPr>
            <w:tcW w:w="23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实验中学南校区1名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YL2305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1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具备小学及以上语文教师资格</w:t>
            </w:r>
          </w:p>
        </w:tc>
        <w:tc>
          <w:tcPr>
            <w:tcW w:w="23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庐城镇城区小学3名，庐江高新实验学校2名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YL2306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1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具备小学及以上数学教师资格</w:t>
            </w:r>
          </w:p>
        </w:tc>
        <w:tc>
          <w:tcPr>
            <w:tcW w:w="23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庐城镇城区小学3名，庐江高新实验学校1名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庐江县银龄讲课计划申请表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41"/>
        <w:gridCol w:w="886"/>
        <w:gridCol w:w="199"/>
        <w:gridCol w:w="720"/>
        <w:gridCol w:w="998"/>
        <w:gridCol w:w="915"/>
        <w:gridCol w:w="174"/>
        <w:gridCol w:w="614"/>
        <w:gridCol w:w="796"/>
        <w:gridCol w:w="157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   名</w:t>
            </w:r>
          </w:p>
        </w:tc>
        <w:tc>
          <w:tcPr>
            <w:tcW w:w="12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  族</w:t>
            </w:r>
          </w:p>
        </w:tc>
        <w:tc>
          <w:tcPr>
            <w:tcW w:w="15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照片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（近期一寸免冠彩色）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2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  业</w:t>
            </w:r>
          </w:p>
        </w:tc>
        <w:tc>
          <w:tcPr>
            <w:tcW w:w="15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309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健康       状况</w:t>
            </w:r>
          </w:p>
        </w:tc>
        <w:tc>
          <w:tcPr>
            <w:tcW w:w="15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普通话等级</w:t>
            </w:r>
          </w:p>
        </w:tc>
        <w:tc>
          <w:tcPr>
            <w:tcW w:w="309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退休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15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退休前所在学校、任教学段及学科</w:t>
            </w:r>
          </w:p>
        </w:tc>
        <w:tc>
          <w:tcPr>
            <w:tcW w:w="199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教师资格证学段学科</w:t>
            </w:r>
          </w:p>
        </w:tc>
        <w:tc>
          <w:tcPr>
            <w:tcW w:w="10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教师资格证书编号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职称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77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曾任职务</w:t>
            </w:r>
          </w:p>
        </w:tc>
        <w:tc>
          <w:tcPr>
            <w:tcW w:w="25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报名任教学校</w:t>
            </w:r>
          </w:p>
        </w:tc>
        <w:tc>
          <w:tcPr>
            <w:tcW w:w="199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436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手机号码</w:t>
            </w:r>
          </w:p>
        </w:tc>
        <w:tc>
          <w:tcPr>
            <w:tcW w:w="199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0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是否服从调配</w:t>
            </w:r>
          </w:p>
        </w:tc>
        <w:tc>
          <w:tcPr>
            <w:tcW w:w="343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（填是或否）_____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个人工作简历</w:t>
            </w:r>
          </w:p>
        </w:tc>
        <w:tc>
          <w:tcPr>
            <w:tcW w:w="7455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主要获奖情况</w:t>
            </w:r>
          </w:p>
        </w:tc>
        <w:tc>
          <w:tcPr>
            <w:tcW w:w="7455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有无犯罪、处分或其他不良记录</w:t>
            </w:r>
          </w:p>
        </w:tc>
        <w:tc>
          <w:tcPr>
            <w:tcW w:w="7455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签名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及备注</w:t>
            </w:r>
          </w:p>
        </w:tc>
        <w:tc>
          <w:tcPr>
            <w:tcW w:w="7455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签名：        日期：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    附件3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考核赋分标准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考核赋分总分为100分。符合基本条件的高级教师赋60分，一级教师赋55分。超过基本条件的按以下标准进行赋分：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教研类。教学论文、课件、微课、信息技术展示等比赛县级三等奖按1分/次赋分、市级三等奖（县级二等奖）按2分/次赋分，省级三等奖（市级二等奖、县级一等奖）按3分/次赋分，国家三等奖（省级二等奖、市一等奖）按4分/次赋分，国家二等奖（省级一等奖）及按5分/次赋分，国家一等奖按6分/次赋分。此项赋分最高不超过10分，同一作品按最高等次赋分1次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课堂教学类。课堂教学（含优质课、教学基本功大赛、教学技能大赛）比赛县级三等奖按2分/次赋分、市级三等奖（县级二等奖）按3分/次赋分，省级三等奖（市级二等奖、县级一等奖）按4分/次赋分，国家三等奖（省级二等奖、市一等奖）按5分/次赋分，国家二等奖（省级一等奖）及按9分/次赋分，国家一等奖按10分/次赋分。此项赋分最高不超过10分，同一赛次按最高等次赋分1次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课题研究类。已结题教育科学规划（含电教）课题主持人，县级按2分/项赋分，市级按3分/项赋分，省级按4分/项赋分；主要成员（课题组前三名成员）县级按1分/项赋分、市级按2分/项赋分，省级按3分/项赋分。国家级子课题按省级赋分。此项赋分最高不超过5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.综合成绩类。县级、市级、省级优秀教师（含骨干教师、最美教师、学科优胜奖、优秀教育工作者、优秀共产党员、优秀党务工作者、师德楷模、师德先进个人等）分别按按2分、3分、4分/项赋分，县级、市级、省级学科带头人（含拔尖人才、政府特殊津贴、教坛新星）分别按4分、5分、6分/项赋分。此项赋分最高不超过15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附件4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银龄讲课协议书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受援单位：                   （以下简称甲方）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讲课教师：                   （以下简称乙方）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为进一步加强教师队伍建设，充分利用退休教师优势资源，促进基础教育优质均衡发展，缓解城区学校因教师病假、产假等原因而出现的教师阶段性短缺和结构不合理等矛盾，根据庐江县有关文件要求，招募         老师到                  学校从事讲课工作。从    年   月起至    年   月止。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为切实做好讲课工作，规范双方在讲课期间的权利和义务，结合实际，双方签订本协议并共同遵照执行。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一、甲方权利及义务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1.做好接收工作，确保乙方及时、安全、顺利到岗开始工作；乙方圆满完成讲课工作任务后，为其出具客观、公正、合理的评鉴意见。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2.做好安全保障等工作，积极落实为乙方购买人身意外伤害保险，乙方因病因伤发生的医疗费用，按本人医疗关系和有关规定办理。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3.组织管理乙方按照相关规定开展并完成讲课工作。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二、乙方权利及义务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1.服务时间原则上为1年。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2.按照甲方规定时间按时报到。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3.自觉服从甲方管理，遵守甲方规章制度，维护甲方和本人形象。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.讲课教师可以根据自己的专业特长开展以课堂教学为主的讲课活动，同时也可根据受援学校的教育教学需求进行听课评课、开设公开课、研讨课或专题讲座，指导青年教师、协助学校做好教学管理和开展教研活动等丰富多样的讲课活动，发挥示范和辐射作用，带动提升受援学校教育教学和管理水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5.因伤病或其他特殊原因请假5天内，需甲方批准方可离开；请假6至10天，需报受援学校教育行政主管部门批准；请假10天以上或不能坚持工作到讲课任务结束，需报县教育行政主管部门批准。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三、其他事宜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本协议书一式三份，甲、乙双方各持一份，县教体局人事科备案一份。签字盖章后生效。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甲方：受援单位（公章）：      乙方：讲课教师（签字）：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年  月  日                         年  月  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附件5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庐江县银龄教师工作经费管理使用办法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为切实用好退休教师优势资源，促进我县基础教育优质均衡发展，确保银龄教师工作经费规范管理使用，结合实际，制定本办法。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一、庐江县银龄教师工作经费使用坚持“客观公正，依据考核，注重实绩，优质优酬”的原则。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二、银龄教师服务期间人事关系、现享受的退休待遇不变。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三、银龄教师服务期间工作经费标准为4000元/月（含每月固定工作补助、购买意外保险费、异地授课交通补助），每年按10个月发放。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四、银龄教师年终奖励性补助按1000元/人/月标准（每年按10个月计算），由教体局统筹，根据个人年度考核结果(优秀、合格、基本合格、不合格），按1:0.8:0.6:0的等次系数测算发放到人。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五、本办法自2023年1月1日起实施，最终解释权归县教体局、县财政局。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A34DE9"/>
    <w:rsid w:val="5394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003399"/>
      <w:u w:val="none"/>
    </w:rPr>
  </w:style>
  <w:style w:type="character" w:styleId="9">
    <w:name w:val="Hyperlink"/>
    <w:basedOn w:val="6"/>
    <w:uiPriority w:val="0"/>
    <w:rPr>
      <w:color w:val="003399"/>
      <w:u w:val="none"/>
    </w:rPr>
  </w:style>
  <w:style w:type="character" w:customStyle="1" w:styleId="10">
    <w:name w:val="bds_more2"/>
    <w:basedOn w:val="6"/>
    <w:uiPriority w:val="0"/>
    <w:rPr>
      <w:rFonts w:hint="eastAsia" w:ascii="宋体" w:hAnsi="宋体" w:eastAsia="宋体" w:cs="宋体"/>
    </w:rPr>
  </w:style>
  <w:style w:type="character" w:customStyle="1" w:styleId="11">
    <w:name w:val="bds_more3"/>
    <w:basedOn w:val="6"/>
    <w:uiPriority w:val="0"/>
  </w:style>
  <w:style w:type="character" w:customStyle="1" w:styleId="12">
    <w:name w:val="bds_more4"/>
    <w:basedOn w:val="6"/>
    <w:uiPriority w:val="0"/>
  </w:style>
  <w:style w:type="character" w:customStyle="1" w:styleId="13">
    <w:name w:val="bds_nopic"/>
    <w:basedOn w:val="6"/>
    <w:uiPriority w:val="0"/>
  </w:style>
  <w:style w:type="character" w:customStyle="1" w:styleId="14">
    <w:name w:val="bds_nopic1"/>
    <w:basedOn w:val="6"/>
    <w:uiPriority w:val="0"/>
  </w:style>
  <w:style w:type="character" w:customStyle="1" w:styleId="15">
    <w:name w:val="bds_nopic2"/>
    <w:basedOn w:val="6"/>
    <w:uiPriority w:val="0"/>
  </w:style>
  <w:style w:type="character" w:customStyle="1" w:styleId="16">
    <w:name w:val="bds_more"/>
    <w:basedOn w:val="6"/>
    <w:uiPriority w:val="0"/>
    <w:rPr>
      <w:rFonts w:hint="eastAsia" w:ascii="宋体" w:hAnsi="宋体" w:eastAsia="宋体" w:cs="宋体"/>
    </w:rPr>
  </w:style>
  <w:style w:type="character" w:customStyle="1" w:styleId="17">
    <w:name w:val="bds_more1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Office_11.1.0.11544_F1E327BC-269C-435d-A152-05C5408002CA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2023-01-19T03:33:00Z</dcterms:created>
  <dc:creator>yanzidewo</dc:creator>
  <cp:lastModifiedBy>yanzidewo</cp:lastModifiedBy>
  <dcterms:modified xsi:type="dcterms:W3CDTF">2023-01-19T13:17:08Z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2052-11.1.0.11544</vt:lpwstr>
  </property>
  <property fmtid="{D5CDD505-2E9C-101B-9397-08002B2CF9AE}" pid="3" name="ICV">
    <vt:lpwstr>F617C80669944AE481F7B57FFEA5C1CA</vt:lpwstr>
  </property>
</Properties>
</file>