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0" w:firstLineChars="0"/>
        <w:jc w:val="center"/>
        <w:textAlignment w:val="auto"/>
        <w:rPr>
          <w:rFonts w:hint="eastAsia" w:ascii="仿宋_GB2312" w:hAnsi="仿宋_GB2312" w:eastAsia="仿宋_GB2312" w:cs="仿宋_GB2312"/>
          <w:b/>
          <w:color w:val="000000" w:themeColor="text1"/>
          <w:spacing w:val="-11"/>
          <w:w w:val="95"/>
          <w:sz w:val="32"/>
          <w:szCs w:val="32"/>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11"/>
          <w:w w:val="95"/>
          <w:sz w:val="44"/>
          <w:szCs w:val="44"/>
          <w14:textFill>
            <w14:solidFill>
              <w14:schemeClr w14:val="tx1"/>
            </w14:solidFill>
          </w14:textFill>
        </w:rPr>
        <w:t>2024年</w:t>
      </w:r>
      <w:r>
        <w:rPr>
          <w:rFonts w:hint="eastAsia" w:ascii="方正小标宋简体" w:hAnsi="方正小标宋简体" w:eastAsia="方正小标宋简体" w:cs="方正小标宋简体"/>
          <w:b w:val="0"/>
          <w:bCs/>
          <w:color w:val="000000" w:themeColor="text1"/>
          <w:spacing w:val="-11"/>
          <w:w w:val="95"/>
          <w:sz w:val="44"/>
          <w:szCs w:val="44"/>
          <w:lang w:eastAsia="zh-CN"/>
          <w14:textFill>
            <w14:solidFill>
              <w14:schemeClr w14:val="tx1"/>
            </w14:solidFill>
          </w14:textFill>
        </w:rPr>
        <w:t>华容一中“四海揽才”招聘教师公告</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为深入实施人才强县战略，切实加强教师队伍建设，提升教育教学质量，</w:t>
      </w:r>
      <w:r>
        <w:rPr>
          <w:rFonts w:hint="eastAsia" w:ascii="仿宋_GB2312" w:hAnsi="仿宋_GB2312" w:eastAsia="仿宋_GB2312" w:cs="仿宋_GB2312"/>
          <w:color w:val="000000" w:themeColor="text1"/>
          <w:sz w:val="32"/>
          <w:szCs w:val="32"/>
          <w14:textFill>
            <w14:solidFill>
              <w14:schemeClr w14:val="tx1"/>
            </w14:solidFill>
          </w14:textFill>
        </w:rPr>
        <w:t>根据《湖南省事业单位公开招聘人员办法》(湘人社发〔</w:t>
      </w:r>
      <w:r>
        <w:rPr>
          <w:rFonts w:hint="default" w:ascii="Times New Roman" w:hAnsi="Times New Roman" w:eastAsia="仿宋_GB2312" w:cs="Times New Roman"/>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和《华容县深入实施“华容英才”计划建设湘北人才高地的若干措施》（华委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等有关文件精神，经研究决定，</w:t>
      </w:r>
      <w:r>
        <w:rPr>
          <w:rFonts w:hint="eastAsia" w:ascii="仿宋_GB2312" w:hAnsi="仿宋_GB2312" w:eastAsia="仿宋_GB2312" w:cs="仿宋_GB2312"/>
          <w:color w:val="000000" w:themeColor="text1"/>
          <w:sz w:val="32"/>
          <w:szCs w:val="32"/>
          <w:lang w:eastAsia="zh-CN"/>
          <w14:textFill>
            <w14:solidFill>
              <w14:schemeClr w14:val="tx1"/>
            </w14:solidFill>
          </w14:textFill>
        </w:rPr>
        <w:t>华容县第一中学（以下简称“华容一中”）拟</w:t>
      </w:r>
      <w:r>
        <w:rPr>
          <w:rFonts w:hint="eastAsia" w:ascii="仿宋_GB2312" w:hAnsi="仿宋_GB2312" w:eastAsia="仿宋_GB2312" w:cs="仿宋_GB2312"/>
          <w:color w:val="000000" w:themeColor="text1"/>
          <w:sz w:val="32"/>
          <w:szCs w:val="32"/>
          <w14:textFill>
            <w14:solidFill>
              <w14:schemeClr w14:val="tx1"/>
            </w14:solidFill>
          </w14:textFill>
        </w:rPr>
        <w:t>面向</w:t>
      </w:r>
      <w:r>
        <w:rPr>
          <w:rFonts w:hint="eastAsia" w:ascii="仿宋_GB2312" w:hAnsi="仿宋_GB2312" w:eastAsia="仿宋_GB2312" w:cs="仿宋_GB2312"/>
          <w:color w:val="000000" w:themeColor="text1"/>
          <w:sz w:val="32"/>
          <w:szCs w:val="32"/>
          <w:lang w:eastAsia="zh-CN"/>
          <w14:textFill>
            <w14:solidFill>
              <w14:schemeClr w14:val="tx1"/>
            </w14:solidFill>
          </w14:textFill>
        </w:rPr>
        <w:t>社会</w:t>
      </w:r>
      <w:r>
        <w:rPr>
          <w:rFonts w:hint="eastAsia" w:ascii="仿宋_GB2312" w:hAnsi="仿宋_GB2312" w:eastAsia="仿宋_GB2312" w:cs="仿宋_GB2312"/>
          <w:color w:val="000000" w:themeColor="text1"/>
          <w:sz w:val="32"/>
          <w:szCs w:val="32"/>
          <w14:textFill>
            <w14:solidFill>
              <w14:schemeClr w14:val="tx1"/>
            </w14:solidFill>
          </w14:textFill>
        </w:rPr>
        <w:t>公开</w:t>
      </w:r>
      <w:r>
        <w:rPr>
          <w:rFonts w:hint="eastAsia" w:ascii="仿宋_GB2312" w:hAnsi="仿宋_GB2312" w:eastAsia="仿宋_GB2312" w:cs="仿宋_GB2312"/>
          <w:color w:val="000000" w:themeColor="text1"/>
          <w:sz w:val="32"/>
          <w:szCs w:val="32"/>
          <w:lang w:eastAsia="zh-CN"/>
          <w14:textFill>
            <w14:solidFill>
              <w14:schemeClr w14:val="tx1"/>
            </w14:solidFill>
          </w14:textFill>
        </w:rPr>
        <w:t>引进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名</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急需紧缺学科</w:t>
      </w:r>
      <w:r>
        <w:rPr>
          <w:rFonts w:hint="eastAsia" w:ascii="仿宋_GB2312" w:hAnsi="仿宋_GB2312" w:eastAsia="仿宋_GB2312" w:cs="仿宋_GB2312"/>
          <w:color w:val="000000" w:themeColor="text1"/>
          <w:sz w:val="32"/>
          <w:szCs w:val="32"/>
          <w14:textFill>
            <w14:solidFill>
              <w14:schemeClr w14:val="tx1"/>
            </w14:solidFill>
          </w14:textFill>
        </w:rPr>
        <w:t>教师，现</w:t>
      </w:r>
      <w:r>
        <w:rPr>
          <w:rFonts w:hint="eastAsia" w:ascii="仿宋_GB2312" w:hAnsi="仿宋_GB2312" w:eastAsia="仿宋_GB2312" w:cs="仿宋_GB2312"/>
          <w:color w:val="000000" w:themeColor="text1"/>
          <w:sz w:val="32"/>
          <w:szCs w:val="32"/>
          <w:lang w:eastAsia="zh-CN"/>
          <w14:textFill>
            <w14:solidFill>
              <w14:schemeClr w14:val="tx1"/>
            </w14:solidFill>
          </w14:textFill>
        </w:rPr>
        <w:t>就</w:t>
      </w:r>
      <w:r>
        <w:rPr>
          <w:rFonts w:hint="eastAsia" w:ascii="仿宋_GB2312" w:hAnsi="仿宋_GB2312" w:eastAsia="仿宋_GB2312" w:cs="仿宋_GB2312"/>
          <w:color w:val="000000" w:themeColor="text1"/>
          <w:sz w:val="32"/>
          <w:szCs w:val="32"/>
          <w14:textFill>
            <w14:solidFill>
              <w14:schemeClr w14:val="tx1"/>
            </w14:solidFill>
          </w14:textFill>
        </w:rPr>
        <w:t>具体事项</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如下：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一、组织监督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本次公开招聘工作在县委人才工作领导小组统一领导</w:t>
      </w:r>
      <w:r>
        <w:rPr>
          <w:rFonts w:hint="eastAsia" w:ascii="仿宋_GB2312" w:hAnsi="仿宋_GB2312" w:eastAsia="仿宋_GB2312" w:cs="仿宋_GB2312"/>
          <w:color w:val="000000" w:themeColor="text1"/>
          <w:sz w:val="32"/>
          <w:szCs w:val="32"/>
          <w:lang w:eastAsia="zh-CN"/>
          <w14:textFill>
            <w14:solidFill>
              <w14:schemeClr w14:val="tx1"/>
            </w14:solidFill>
          </w14:textFill>
        </w:rPr>
        <w:t>下，县委人才办牵头，县委编办、</w:t>
      </w:r>
      <w:r>
        <w:rPr>
          <w:rFonts w:hint="eastAsia" w:ascii="仿宋_GB2312" w:hAnsi="仿宋_GB2312" w:eastAsia="仿宋_GB2312" w:cs="仿宋_GB2312"/>
          <w:color w:val="000000" w:themeColor="text1"/>
          <w:sz w:val="32"/>
          <w:szCs w:val="32"/>
          <w14:textFill>
            <w14:solidFill>
              <w14:schemeClr w14:val="tx1"/>
            </w14:solidFill>
          </w14:textFill>
        </w:rPr>
        <w:t>县人</w:t>
      </w:r>
      <w:r>
        <w:rPr>
          <w:rFonts w:hint="eastAsia" w:ascii="仿宋_GB2312" w:hAnsi="仿宋_GB2312" w:eastAsia="仿宋_GB2312" w:cs="仿宋_GB2312"/>
          <w:color w:val="000000" w:themeColor="text1"/>
          <w:sz w:val="32"/>
          <w:szCs w:val="32"/>
          <w:lang w:eastAsia="zh-CN"/>
          <w14:textFill>
            <w14:solidFill>
              <w14:schemeClr w14:val="tx1"/>
            </w14:solidFill>
          </w14:textFill>
        </w:rPr>
        <w:t>社</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县教体局</w:t>
      </w:r>
      <w:r>
        <w:rPr>
          <w:rFonts w:hint="eastAsia" w:ascii="仿宋_GB2312" w:hAnsi="仿宋_GB2312" w:eastAsia="仿宋_GB2312" w:cs="仿宋_GB2312"/>
          <w:color w:val="000000" w:themeColor="text1"/>
          <w:sz w:val="32"/>
          <w:szCs w:val="32"/>
          <w:lang w:eastAsia="zh-CN"/>
          <w14:textFill>
            <w14:solidFill>
              <w14:schemeClr w14:val="tx1"/>
            </w14:solidFill>
          </w14:textFill>
        </w:rPr>
        <w:t>、华容一中共同</w:t>
      </w:r>
      <w:r>
        <w:rPr>
          <w:rFonts w:hint="eastAsia" w:ascii="仿宋_GB2312" w:hAnsi="仿宋_GB2312" w:eastAsia="仿宋_GB2312" w:cs="仿宋_GB2312"/>
          <w:color w:val="000000" w:themeColor="text1"/>
          <w:sz w:val="32"/>
          <w:szCs w:val="32"/>
          <w14:textFill>
            <w14:solidFill>
              <w14:schemeClr w14:val="tx1"/>
            </w14:solidFill>
          </w14:textFill>
        </w:rPr>
        <w:t>组织实施。县纪委监委派驻</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教体局纪检监察组</w:t>
      </w:r>
      <w:r>
        <w:rPr>
          <w:rFonts w:hint="eastAsia" w:ascii="仿宋_GB2312" w:hAnsi="仿宋_GB2312" w:eastAsia="仿宋_GB2312" w:cs="仿宋_GB2312"/>
          <w:color w:val="000000" w:themeColor="text1"/>
          <w:sz w:val="32"/>
          <w:szCs w:val="32"/>
          <w:lang w:eastAsia="zh-CN"/>
          <w14:textFill>
            <w14:solidFill>
              <w14:schemeClr w14:val="tx1"/>
            </w14:solidFill>
          </w14:textFill>
        </w:rPr>
        <w:t>和华容一中纪委</w:t>
      </w:r>
      <w:r>
        <w:rPr>
          <w:rFonts w:hint="eastAsia" w:ascii="仿宋_GB2312" w:hAnsi="仿宋_GB2312" w:eastAsia="仿宋_GB2312" w:cs="仿宋_GB2312"/>
          <w:color w:val="000000" w:themeColor="text1"/>
          <w:sz w:val="32"/>
          <w:szCs w:val="32"/>
          <w14:textFill>
            <w14:solidFill>
              <w14:schemeClr w14:val="tx1"/>
            </w14:solidFill>
          </w14:textFill>
        </w:rPr>
        <w:t>全程监督。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二、招聘岗位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具体招聘岗位及计划</w:t>
      </w:r>
      <w:r>
        <w:rPr>
          <w:rFonts w:hint="eastAsia" w:ascii="仿宋_GB2312" w:hAnsi="仿宋_GB2312" w:eastAsia="仿宋_GB2312" w:cs="仿宋_GB2312"/>
          <w:color w:val="000000" w:themeColor="text1"/>
          <w:sz w:val="32"/>
          <w:szCs w:val="32"/>
          <w14:textFill>
            <w14:solidFill>
              <w14:schemeClr w14:val="tx1"/>
            </w14:solidFill>
          </w14:textFill>
        </w:rPr>
        <w:t>详见附件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三、招聘原则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坚持德才兼备的原则；坚持公开、平等、竞争、择优的原则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；坚持工作需要、人岗相适的原则。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四、招聘条件</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（一）基本条件</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.具有中华人民共和国国籍；遵守中华人民共和国宪法和法律，拥护中国共产党领导和社会主义制度；具有良好的品行和职业道德；具备岗位所需的专业条件；适应岗位要求的身体条件。</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.年龄在</w:t>
      </w:r>
      <w:r>
        <w:rPr>
          <w:rFonts w:hint="default" w:ascii="Times New Roman" w:hAnsi="Times New Roman" w:eastAsia="仿宋_GB2312" w:cs="Times New Roman"/>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周岁以上、</w:t>
      </w: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周岁以下。</w:t>
      </w:r>
      <w:r>
        <w:rPr>
          <w:rFonts w:hint="default" w:ascii="Times New Roman" w:hAnsi="Times New Roman" w:eastAsia="仿宋_GB2312" w:cs="Times New Roman"/>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周岁以上是指</w:t>
      </w:r>
      <w:r>
        <w:rPr>
          <w:rFonts w:hint="default" w:ascii="Times New Roman" w:hAnsi="Times New Roman" w:eastAsia="仿宋_GB2312" w:cs="Times New Roman"/>
          <w:color w:val="000000" w:themeColor="text1"/>
          <w:sz w:val="32"/>
          <w:szCs w:val="32"/>
          <w14:textFill>
            <w14:solidFill>
              <w14:schemeClr w14:val="tx1"/>
            </w14:solidFill>
          </w14:textFill>
        </w:rPr>
        <w:t>2006</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日及以前出生；</w:t>
      </w:r>
      <w:r>
        <w:rPr>
          <w:rFonts w:hint="default" w:ascii="Times New Roman" w:hAnsi="Times New Roman" w:eastAsia="仿宋_GB2312" w:cs="Times New Roman"/>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周岁以下是指</w:t>
      </w:r>
      <w:r>
        <w:rPr>
          <w:rFonts w:hint="default" w:ascii="Times New Roman" w:hAnsi="Times New Roman" w:eastAsia="仿宋_GB2312" w:cs="Times New Roman"/>
          <w:color w:val="000000" w:themeColor="text1"/>
          <w:sz w:val="32"/>
          <w:szCs w:val="32"/>
          <w14:textFill>
            <w14:solidFill>
              <w14:schemeClr w14:val="tx1"/>
            </w14:solidFill>
          </w14:textFill>
        </w:rPr>
        <w:t>1988</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日及以后出生。</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.报考人员必须取得重点高校（指报名考生高考大学录取当年属第一批录取的院校）全日制本科学士及以上学历学位，</w:t>
      </w:r>
      <w:r>
        <w:rPr>
          <w:rFonts w:hint="eastAsia" w:ascii="仿宋_GB2312" w:hAnsi="仿宋_GB2312" w:eastAsia="仿宋_GB2312" w:cs="仿宋_GB2312"/>
          <w:color w:val="000000" w:themeColor="text1"/>
          <w:sz w:val="32"/>
          <w:szCs w:val="32"/>
          <w14:textFill>
            <w14:solidFill>
              <w14:schemeClr w14:val="tx1"/>
            </w14:solidFill>
          </w14:textFill>
        </w:rPr>
        <w:t>通过全国统一的高考或研究生入学考试，在国内普通高等学校或承担研究生教育任务的科学研究机构就读，且就读期间个人档案、组织关系保管在就读院校(或科研机构)，下同）。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留学国(境)外的学历须有国家教育部留学服务中心的学历认证书，通过学历认证的，视同同等学历。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.岗位所要求的其他条件。</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.有关说明</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①凡在</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日前取得学历学位证书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和教师资格证书</w:t>
      </w:r>
      <w:r>
        <w:rPr>
          <w:rFonts w:hint="eastAsia" w:ascii="仿宋_GB2312" w:hAnsi="仿宋_GB2312" w:eastAsia="仿宋_GB2312" w:cs="仿宋_GB2312"/>
          <w:color w:val="000000" w:themeColor="text1"/>
          <w:sz w:val="32"/>
          <w:szCs w:val="32"/>
          <w14:textFill>
            <w14:solidFill>
              <w14:schemeClr w14:val="tx1"/>
            </w14:solidFill>
          </w14:textFill>
        </w:rPr>
        <w:t>的高校毕业生，可凭毕业院校就业部门盖章的就业推荐表原件</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教师资格证考试合格证明及岗位要求的其他相关材料报名参加此次公开招聘考试；凡在</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日前没有取得岗位所要求的学历学位证书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和教师资格证书</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取消</w:t>
      </w:r>
      <w:r>
        <w:rPr>
          <w:rFonts w:hint="eastAsia" w:ascii="仿宋_GB2312" w:hAnsi="仿宋_GB2312" w:eastAsia="仿宋_GB2312" w:cs="仿宋_GB2312"/>
          <w:color w:val="000000" w:themeColor="text1"/>
          <w:sz w:val="32"/>
          <w:szCs w:val="32"/>
          <w14:textFill>
            <w14:solidFill>
              <w14:schemeClr w14:val="tx1"/>
            </w14:solidFill>
          </w14:textFill>
        </w:rPr>
        <w:t>聘用</w:t>
      </w:r>
      <w:r>
        <w:rPr>
          <w:rFonts w:hint="eastAsia" w:ascii="仿宋_GB2312" w:hAnsi="仿宋_GB2312" w:eastAsia="仿宋_GB2312" w:cs="仿宋_GB2312"/>
          <w:color w:val="000000" w:themeColor="text1"/>
          <w:sz w:val="32"/>
          <w:szCs w:val="32"/>
          <w:lang w:eastAsia="zh-CN"/>
          <w14:textFill>
            <w14:solidFill>
              <w14:schemeClr w14:val="tx1"/>
            </w14:solidFill>
          </w14:textFill>
        </w:rPr>
        <w:t>资格</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②报考人员所学专业应严格按照毕业证书准确无误填写。</w:t>
      </w:r>
      <w:r>
        <w:rPr>
          <w:rFonts w:hint="eastAsia" w:ascii="仿宋_GB2312" w:hAnsi="仿宋_GB2312" w:eastAsia="仿宋_GB2312" w:cs="仿宋_GB2312"/>
          <w:color w:val="000000" w:themeColor="text1"/>
          <w:sz w:val="32"/>
          <w:szCs w:val="32"/>
          <w:lang w:eastAsia="zh-CN"/>
          <w14:textFill>
            <w14:solidFill>
              <w14:schemeClr w14:val="tx1"/>
            </w14:solidFill>
          </w14:textFill>
        </w:rPr>
        <w:t>报考人员</w:t>
      </w:r>
      <w:r>
        <w:rPr>
          <w:rFonts w:hint="eastAsia" w:ascii="仿宋_GB2312" w:hAnsi="仿宋_GB2312" w:eastAsia="仿宋_GB2312" w:cs="仿宋_GB2312"/>
          <w:color w:val="000000" w:themeColor="text1"/>
          <w:sz w:val="32"/>
          <w:szCs w:val="32"/>
          <w14:textFill>
            <w14:solidFill>
              <w14:schemeClr w14:val="tx1"/>
            </w14:solidFill>
          </w14:textFill>
        </w:rPr>
        <w:t>专业审查按照《湖南省</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年考试录用公务员专业指导目录》进行。所学专业已列入《湖南省</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年考试录用公务员专业指导目录》但未列入引进岗位专业的，不符合报考条件；所学专业未列入《湖南省</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年考试录用公务员专业指导目录》的，由</w:t>
      </w:r>
      <w:r>
        <w:rPr>
          <w:rFonts w:hint="eastAsia" w:ascii="仿宋_GB2312" w:hAnsi="仿宋_GB2312" w:eastAsia="仿宋_GB2312" w:cs="仿宋_GB2312"/>
          <w:color w:val="000000" w:themeColor="text1"/>
          <w:sz w:val="32"/>
          <w:szCs w:val="32"/>
          <w:lang w:eastAsia="zh-CN"/>
          <w14:textFill>
            <w14:solidFill>
              <w14:schemeClr w14:val="tx1"/>
            </w14:solidFill>
          </w14:textFill>
        </w:rPr>
        <w:t>县委人才办</w:t>
      </w:r>
      <w:r>
        <w:rPr>
          <w:rFonts w:hint="eastAsia" w:ascii="仿宋_GB2312" w:hAnsi="仿宋_GB2312" w:eastAsia="仿宋_GB2312" w:cs="仿宋_GB2312"/>
          <w:color w:val="000000" w:themeColor="text1"/>
          <w:sz w:val="32"/>
          <w:szCs w:val="32"/>
          <w14:textFill>
            <w14:solidFill>
              <w14:schemeClr w14:val="tx1"/>
            </w14:solidFill>
          </w14:textFill>
        </w:rPr>
        <w:t>认定是否可以报考。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14:textFill>
            <w14:solidFill>
              <w14:schemeClr w14:val="tx1"/>
            </w14:solidFill>
          </w14:textFill>
        </w:rPr>
        <w:t>） 有下列情形之一的人员，不得报名应聘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.曾因犯罪受过刑事处罚的人员或曾被开除公职、开除党籍的人员；尚未解除党纪、政纪处分或正在接受纪律审查的人员；涉嫌违法犯罪正在接受司法调查尚未作出结论的人员；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.在各级各类事业单位公开招聘中因违反《事业单位公开招聘违纪违规行为处理规定》被记入事业单位公开招聘应聘人员诚信档案库，且记录期限未满的人员；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.现役军人或在读的普通高校全日制非</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届毕业生（在读的全日制非</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届研究生不能以本科等学历报考，其他情形依此类推）；</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.本县在编在职工作人员；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.根据中共中央组织部、人力资源社会保障部关于印发《事业单位人事管理回避规定》的通知（人社部规〔</w:t>
      </w:r>
      <w:r>
        <w:rPr>
          <w:rFonts w:hint="default" w:ascii="Times New Roman" w:hAnsi="Times New Roman" w:eastAsia="仿宋_GB2312" w:cs="Times New Roman"/>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号）精神，不得应聘聘用后即构成应回避关系的招聘岗位;</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.法律、政策规定不得聘用为事业单位工作人员的其他情形的人员。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五、招聘程序</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本次公开招聘采取校园招聘现场报名和网上报名方式，报名时间自本公告发布之日至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lang w:eastAsia="zh-CN"/>
          <w14:textFill>
            <w14:solidFill>
              <w14:schemeClr w14:val="tx1"/>
            </w14:solidFill>
          </w14:textFill>
        </w:rPr>
        <w:t>日止。</w:t>
      </w:r>
      <w:r>
        <w:rPr>
          <w:rFonts w:hint="eastAsia" w:ascii="仿宋_GB2312" w:hAnsi="仿宋_GB2312" w:eastAsia="仿宋_GB2312" w:cs="仿宋_GB2312"/>
          <w:color w:val="000000" w:themeColor="text1"/>
          <w:sz w:val="32"/>
          <w:szCs w:val="32"/>
          <w14:textFill>
            <w14:solidFill>
              <w14:schemeClr w14:val="tx1"/>
            </w14:solidFill>
          </w14:textFill>
        </w:rPr>
        <w:t>逾期不予补报。本次公开招聘报名不收取报名费。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.现场报名。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华容一中根据省内相关高校校园招聘工作安排，赴高校参加校园招聘活动，现场接受应聘对象报名。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.网络报名。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其他符合条件的应聘对象可以进行网络报名，报名人员将岗位所需报名材料原件扫描压缩后以文件名“姓名+招聘岗位代码”的形式上传至指定邮箱（</w:t>
      </w:r>
      <w:r>
        <w:rPr>
          <w:rFonts w:hint="eastAsia" w:ascii="仿宋_GB2312" w:hAnsi="仿宋_GB2312" w:eastAsia="仿宋_GB2312" w:cs="仿宋_GB2312"/>
          <w:color w:val="000000" w:themeColor="text1"/>
          <w:sz w:val="32"/>
          <w:szCs w:val="32"/>
          <w14:textFill>
            <w14:solidFill>
              <w14:schemeClr w14:val="tx1"/>
            </w14:solidFill>
          </w14:textFill>
        </w:rPr>
        <w:t>报名邮箱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664835911</w:t>
      </w:r>
      <w:r>
        <w:rPr>
          <w:rFonts w:hint="default" w:ascii="Times New Roman" w:hAnsi="Times New Roman" w:eastAsia="仿宋_GB2312" w:cs="Times New Roman"/>
          <w:color w:val="000000" w:themeColor="text1"/>
          <w:sz w:val="32"/>
          <w:szCs w:val="32"/>
          <w14:textFill>
            <w14:solidFill>
              <w14:schemeClr w14:val="tx1"/>
            </w14:solidFill>
          </w14:textFill>
        </w:rPr>
        <w:t>@qq</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com</w:t>
      </w:r>
      <w:r>
        <w:rPr>
          <w:rFonts w:hint="eastAsia" w:ascii="仿宋_GB2312" w:hAnsi="仿宋_GB2312" w:eastAsia="仿宋_GB2312" w:cs="仿宋_GB2312"/>
          <w:color w:val="000000" w:themeColor="text1"/>
          <w:sz w:val="32"/>
          <w:szCs w:val="32"/>
          <w14:textFill>
            <w14:solidFill>
              <w14:schemeClr w14:val="tx1"/>
            </w14:solidFill>
          </w14:textFill>
        </w:rPr>
        <w:t>，联系人：陈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琪</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13786040336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报名资料。</w:t>
      </w:r>
      <w:r>
        <w:rPr>
          <w:rFonts w:hint="eastAsia" w:ascii="仿宋_GB2312" w:hAnsi="仿宋_GB2312" w:eastAsia="仿宋_GB2312" w:cs="仿宋_GB2312"/>
          <w:color w:val="000000" w:themeColor="text1"/>
          <w:sz w:val="32"/>
          <w:szCs w:val="32"/>
          <w14:textFill>
            <w14:solidFill>
              <w14:schemeClr w14:val="tx1"/>
            </w14:solidFill>
          </w14:textFill>
        </w:rPr>
        <w:t>①报考人员在报名时应填写《</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年华容一中“四海揽才”招聘教师报名表》（附件</w:t>
      </w: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）。②现场报名人员交本人近期免冠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两</w:t>
      </w:r>
      <w:r>
        <w:rPr>
          <w:rFonts w:hint="eastAsia" w:ascii="仿宋_GB2312" w:hAnsi="仿宋_GB2312" w:eastAsia="仿宋_GB2312" w:cs="仿宋_GB2312"/>
          <w:color w:val="000000" w:themeColor="text1"/>
          <w:sz w:val="32"/>
          <w:szCs w:val="32"/>
          <w14:textFill>
            <w14:solidFill>
              <w14:schemeClr w14:val="tx1"/>
            </w14:solidFill>
          </w14:textFill>
        </w:rPr>
        <w:t>寸彩照二张；网络报名人员要求上传两寸免冠</w:t>
      </w:r>
      <w:r>
        <w:rPr>
          <w:rFonts w:hint="eastAsia" w:ascii="仿宋_GB2312" w:hAnsi="仿宋_GB2312" w:eastAsia="仿宋_GB2312" w:cs="仿宋_GB2312"/>
          <w:color w:val="000000" w:themeColor="text1"/>
          <w:sz w:val="32"/>
          <w:szCs w:val="32"/>
          <w:lang w:eastAsia="zh-CN"/>
          <w14:textFill>
            <w14:solidFill>
              <w14:schemeClr w14:val="tx1"/>
            </w14:solidFill>
          </w14:textFill>
        </w:rPr>
        <w:t>彩</w:t>
      </w:r>
      <w:r>
        <w:rPr>
          <w:rFonts w:hint="eastAsia" w:ascii="仿宋_GB2312" w:hAnsi="仿宋_GB2312" w:eastAsia="仿宋_GB2312" w:cs="仿宋_GB2312"/>
          <w:color w:val="000000" w:themeColor="text1"/>
          <w:sz w:val="32"/>
          <w:szCs w:val="32"/>
          <w14:textFill>
            <w14:solidFill>
              <w14:schemeClr w14:val="tx1"/>
            </w14:solidFill>
          </w14:textFill>
        </w:rPr>
        <w:t>照，图片为</w:t>
      </w:r>
      <w:r>
        <w:rPr>
          <w:rFonts w:hint="default" w:ascii="Times New Roman" w:hAnsi="Times New Roman" w:eastAsia="仿宋_GB2312" w:cs="Times New Roman"/>
          <w:color w:val="000000" w:themeColor="text1"/>
          <w:sz w:val="32"/>
          <w:szCs w:val="32"/>
          <w14:textFill>
            <w14:solidFill>
              <w14:schemeClr w14:val="tx1"/>
            </w14:solidFill>
          </w14:textFill>
        </w:rPr>
        <w:t>png</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jpg</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jpeg</w:t>
      </w:r>
      <w:r>
        <w:rPr>
          <w:rFonts w:hint="eastAsia" w:ascii="仿宋_GB2312" w:hAnsi="仿宋_GB2312" w:eastAsia="仿宋_GB2312" w:cs="仿宋_GB2312"/>
          <w:color w:val="000000" w:themeColor="text1"/>
          <w:sz w:val="32"/>
          <w:szCs w:val="32"/>
          <w14:textFill>
            <w14:solidFill>
              <w14:schemeClr w14:val="tx1"/>
            </w14:solidFill>
          </w14:textFill>
        </w:rPr>
        <w:t>格式，尺寸规则，图片清晰，大小大于</w:t>
      </w:r>
      <w:r>
        <w:rPr>
          <w:rFonts w:hint="default" w:ascii="Times New Roman" w:hAnsi="Times New Roman" w:eastAsia="仿宋_GB2312" w:cs="Times New Roman"/>
          <w:color w:val="000000" w:themeColor="text1"/>
          <w:sz w:val="32"/>
          <w:szCs w:val="32"/>
          <w14:textFill>
            <w14:solidFill>
              <w14:schemeClr w14:val="tx1"/>
            </w14:solidFill>
          </w14:textFill>
        </w:rPr>
        <w:t>50kb</w:t>
      </w:r>
      <w:r>
        <w:rPr>
          <w:rFonts w:hint="eastAsia" w:ascii="仿宋_GB2312" w:hAnsi="仿宋_GB2312" w:eastAsia="仿宋_GB2312" w:cs="仿宋_GB2312"/>
          <w:color w:val="000000" w:themeColor="text1"/>
          <w:sz w:val="32"/>
          <w:szCs w:val="32"/>
          <w14:textFill>
            <w14:solidFill>
              <w14:schemeClr w14:val="tx1"/>
            </w14:solidFill>
          </w14:textFill>
        </w:rPr>
        <w:t>且不超过</w:t>
      </w:r>
      <w:r>
        <w:rPr>
          <w:rFonts w:hint="default" w:ascii="Times New Roman" w:hAnsi="Times New Roman" w:eastAsia="仿宋_GB2312" w:cs="Times New Roman"/>
          <w:color w:val="000000" w:themeColor="text1"/>
          <w:sz w:val="32"/>
          <w:szCs w:val="32"/>
          <w14:textFill>
            <w14:solidFill>
              <w14:schemeClr w14:val="tx1"/>
            </w14:solidFill>
          </w14:textFill>
        </w:rPr>
        <w:t>2M</w:t>
      </w:r>
      <w:r>
        <w:rPr>
          <w:rFonts w:hint="eastAsia" w:ascii="仿宋_GB2312" w:hAnsi="仿宋_GB2312" w:eastAsia="仿宋_GB2312" w:cs="仿宋_GB2312"/>
          <w:color w:val="000000" w:themeColor="text1"/>
          <w:sz w:val="32"/>
          <w:szCs w:val="32"/>
          <w14:textFill>
            <w14:solidFill>
              <w14:schemeClr w14:val="tx1"/>
            </w14:solidFill>
          </w14:textFill>
        </w:rPr>
        <w:t>。③国家承认的学历（学位）证书原件及复印件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份，学信网带二维验证码的《教育部学历证书电子注册备案表》</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份。暂未颁发学历（学位）证的高校毕业生，提供毕业院校就业部门盖章的就业推荐表以及《教育部学籍在线验证报告》原件和复印件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份。④有效身份证件</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14:textFill>
            <w14:solidFill>
              <w14:schemeClr w14:val="tx1"/>
            </w14:solidFill>
          </w14:textFill>
        </w:rPr>
        <w:t>及复印件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份。⑤教师资格证书原件</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复印件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份,尚未取得教师资格证书者须提供认定机构或所在高校出具的已参加相应教师资格认定的合格证明。⑥</w:t>
      </w:r>
      <w:r>
        <w:rPr>
          <w:rFonts w:hint="eastAsia" w:ascii="仿宋_GB2312" w:hAnsi="仿宋_GB2312" w:eastAsia="仿宋_GB2312" w:cs="仿宋_GB2312"/>
          <w:color w:val="000000" w:themeColor="text1"/>
          <w:sz w:val="32"/>
          <w:szCs w:val="32"/>
          <w:lang w:eastAsia="zh-CN"/>
          <w14:textFill>
            <w14:solidFill>
              <w14:schemeClr w14:val="tx1"/>
            </w14:solidFill>
          </w14:textFill>
        </w:rPr>
        <w:t>普通话等级证书原件及复印件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注意事项。</w:t>
      </w:r>
      <w:r>
        <w:rPr>
          <w:rFonts w:hint="eastAsia" w:ascii="仿宋_GB2312" w:hAnsi="仿宋_GB2312" w:eastAsia="仿宋_GB2312" w:cs="仿宋_GB2312"/>
          <w:color w:val="000000" w:themeColor="text1"/>
          <w:sz w:val="32"/>
          <w:szCs w:val="32"/>
          <w14:textFill>
            <w14:solidFill>
              <w14:schemeClr w14:val="tx1"/>
            </w14:solidFill>
          </w14:textFill>
        </w:rPr>
        <w:t>①每名应聘者只能报考一个岗位，多报无效。②应聘人员须认真阅读招聘公告及附件，慎重、理性报考符合条件的岗位。③应聘人员必须诚信报考，如实填报个人相关信息。伪造、涂改证件、证明等报名材料，或者以其他不正当手段获取应聘资格的；提供的涉及报考资格的申请材料或者信息不实，且影响报名审核结果的，取消其本次应聘资格。持伪造证件参加考试的，记入事业单位公开招聘应聘人员诚信档案库，记录期限为五年。④对报考人员虽不构成违纪违规，但故意浪费考试资源的不诚信行为，五年内不得报考我县事业单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（二）资格审查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华容一中负责进行</w:t>
      </w:r>
      <w:r>
        <w:rPr>
          <w:rFonts w:hint="eastAsia" w:ascii="仿宋_GB2312" w:hAnsi="仿宋_GB2312" w:eastAsia="仿宋_GB2312" w:cs="仿宋_GB2312"/>
          <w:color w:val="000000" w:themeColor="text1"/>
          <w:sz w:val="32"/>
          <w:szCs w:val="32"/>
          <w14:textFill>
            <w14:solidFill>
              <w14:schemeClr w14:val="tx1"/>
            </w14:solidFill>
          </w14:textFill>
        </w:rPr>
        <w:t>资格</w:t>
      </w:r>
      <w:r>
        <w:rPr>
          <w:rFonts w:hint="eastAsia" w:ascii="仿宋_GB2312" w:hAnsi="仿宋_GB2312" w:eastAsia="仿宋_GB2312" w:cs="仿宋_GB2312"/>
          <w:color w:val="000000" w:themeColor="text1"/>
          <w:sz w:val="32"/>
          <w:szCs w:val="32"/>
          <w:lang w:eastAsia="zh-CN"/>
          <w14:textFill>
            <w14:solidFill>
              <w14:schemeClr w14:val="tx1"/>
            </w14:solidFill>
          </w14:textFill>
        </w:rPr>
        <w:t>初</w:t>
      </w:r>
      <w:r>
        <w:rPr>
          <w:rFonts w:hint="eastAsia" w:ascii="仿宋_GB2312" w:hAnsi="仿宋_GB2312" w:eastAsia="仿宋_GB2312" w:cs="仿宋_GB2312"/>
          <w:color w:val="000000" w:themeColor="text1"/>
          <w:sz w:val="32"/>
          <w:szCs w:val="32"/>
          <w14:textFill>
            <w14:solidFill>
              <w14:schemeClr w14:val="tx1"/>
            </w14:solidFill>
          </w14:textFill>
        </w:rPr>
        <w:t>审</w:t>
      </w:r>
      <w:r>
        <w:rPr>
          <w:rFonts w:hint="eastAsia" w:ascii="仿宋_GB2312" w:hAnsi="仿宋_GB2312" w:eastAsia="仿宋_GB2312" w:cs="仿宋_GB2312"/>
          <w:color w:val="000000" w:themeColor="text1"/>
          <w:sz w:val="32"/>
          <w:szCs w:val="32"/>
          <w:lang w:eastAsia="zh-CN"/>
          <w14:textFill>
            <w14:solidFill>
              <w14:schemeClr w14:val="tx1"/>
            </w14:solidFill>
          </w14:textFill>
        </w:rPr>
        <w:t>，县委人才办会同县委编办、县人社局和</w:t>
      </w:r>
      <w:r>
        <w:rPr>
          <w:rFonts w:hint="eastAsia" w:ascii="仿宋_GB2312" w:hAnsi="仿宋_GB2312" w:eastAsia="仿宋_GB2312" w:cs="仿宋_GB2312"/>
          <w:color w:val="000000" w:themeColor="text1"/>
          <w:sz w:val="32"/>
          <w:szCs w:val="32"/>
          <w14:textFill>
            <w14:solidFill>
              <w14:schemeClr w14:val="tx1"/>
            </w14:solidFill>
          </w14:textFill>
        </w:rPr>
        <w:t>县教体局</w:t>
      </w:r>
      <w:r>
        <w:rPr>
          <w:rFonts w:hint="eastAsia" w:ascii="仿宋_GB2312" w:hAnsi="仿宋_GB2312" w:eastAsia="仿宋_GB2312" w:cs="仿宋_GB2312"/>
          <w:color w:val="000000" w:themeColor="text1"/>
          <w:sz w:val="32"/>
          <w:szCs w:val="32"/>
          <w:lang w:eastAsia="zh-CN"/>
          <w14:textFill>
            <w14:solidFill>
              <w14:schemeClr w14:val="tx1"/>
            </w14:solidFill>
          </w14:textFill>
        </w:rPr>
        <w:t>共同组织进行资格复审，不按规定时间进行资格复审的，视为放弃招聘资格</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资格审查贯穿招聘工作全过程，在招聘各环节和聘用后发现应聘人员不符合报名条件的,取消其应聘资格或解除聘用合同。</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（三）基础评分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根据应聘对象本科和研究生阶段的毕业院校、学历学位、专业、任职和获得荣誉、资质等情况进行基础评分，满分为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招聘岗位有效报考人数与岗位计划的比例&gt;10的，按招聘岗位计划1：10的比例，根据该岗位基础评分成绩从高分到低分的排名确定面试对象，基础评分成绩相同（末位分数并列）的，一同进入面试环节；招聘岗位有效报考人数与岗位计划的比例≤10的，全部进入面试环节。设基础评分最低合格线，低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分的不得进入面试环节。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b/>
          <w:color w:val="000000" w:themeColor="text1"/>
          <w:sz w:val="32"/>
          <w:szCs w:val="32"/>
          <w:lang w:eastAsia="zh-CN"/>
          <w14:textFill>
            <w14:solidFill>
              <w14:schemeClr w14:val="tx1"/>
            </w14:solidFill>
          </w14:textFill>
        </w:rPr>
        <w:t>面</w:t>
      </w:r>
      <w:r>
        <w:rPr>
          <w:rFonts w:hint="eastAsia" w:ascii="楷体_GB2312" w:hAnsi="楷体_GB2312" w:eastAsia="楷体_GB2312" w:cs="楷体_GB2312"/>
          <w:b/>
          <w:color w:val="000000" w:themeColor="text1"/>
          <w:sz w:val="32"/>
          <w:szCs w:val="32"/>
          <w14:textFill>
            <w14:solidFill>
              <w14:schemeClr w14:val="tx1"/>
            </w14:solidFill>
          </w14:textFill>
        </w:rPr>
        <w:t>试</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面试时间、地点另行通知。</w:t>
      </w:r>
      <w:r>
        <w:rPr>
          <w:rFonts w:hint="eastAsia" w:ascii="仿宋_GB2312" w:hAnsi="仿宋_GB2312" w:eastAsia="仿宋_GB2312" w:cs="仿宋_GB2312"/>
          <w:color w:val="000000" w:themeColor="text1"/>
          <w:sz w:val="32"/>
          <w:szCs w:val="32"/>
          <w14:textFill>
            <w14:solidFill>
              <w14:schemeClr w14:val="tx1"/>
            </w14:solidFill>
          </w14:textFill>
        </w:rPr>
        <w:t>面试开考比例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，达不到</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报县委人才办同意，根据实际情况可降低开考比例、</w:t>
      </w:r>
      <w:r>
        <w:rPr>
          <w:rFonts w:hint="eastAsia" w:ascii="仿宋_GB2312" w:hAnsi="仿宋_GB2312" w:eastAsia="仿宋_GB2312" w:cs="仿宋_GB2312"/>
          <w:color w:val="000000" w:themeColor="text1"/>
          <w:sz w:val="32"/>
          <w:szCs w:val="32"/>
          <w14:textFill>
            <w14:solidFill>
              <w14:schemeClr w14:val="tx1"/>
            </w14:solidFill>
          </w14:textFill>
        </w:rPr>
        <w:t>核减</w:t>
      </w:r>
      <w:r>
        <w:rPr>
          <w:rFonts w:hint="eastAsia" w:ascii="仿宋_GB2312" w:hAnsi="仿宋_GB2312" w:eastAsia="仿宋_GB2312" w:cs="仿宋_GB2312"/>
          <w:color w:val="000000" w:themeColor="text1"/>
          <w:sz w:val="32"/>
          <w:szCs w:val="32"/>
          <w:lang w:eastAsia="zh-CN"/>
          <w14:textFill>
            <w14:solidFill>
              <w14:schemeClr w14:val="tx1"/>
            </w14:solidFill>
          </w14:textFill>
        </w:rPr>
        <w:t>或取消</w:t>
      </w:r>
      <w:r>
        <w:rPr>
          <w:rFonts w:hint="eastAsia" w:ascii="仿宋_GB2312" w:hAnsi="仿宋_GB2312" w:eastAsia="仿宋_GB2312" w:cs="仿宋_GB2312"/>
          <w:color w:val="000000" w:themeColor="text1"/>
          <w:sz w:val="32"/>
          <w:szCs w:val="32"/>
          <w14:textFill>
            <w14:solidFill>
              <w14:schemeClr w14:val="tx1"/>
            </w14:solidFill>
          </w14:textFill>
        </w:rPr>
        <w:t>招聘计划数，</w:t>
      </w:r>
      <w:r>
        <w:rPr>
          <w:rFonts w:hint="eastAsia" w:ascii="仿宋_GB2312" w:hAnsi="仿宋_GB2312" w:eastAsia="仿宋_GB2312" w:cs="仿宋_GB2312"/>
          <w:color w:val="000000" w:themeColor="text1"/>
          <w:sz w:val="32"/>
          <w:szCs w:val="32"/>
          <w:lang w:eastAsia="zh-CN"/>
          <w14:textFill>
            <w14:solidFill>
              <w14:schemeClr w14:val="tx1"/>
            </w14:solidFill>
          </w14:textFill>
        </w:rPr>
        <w:t>若岗位有硕士研究生报名参考或</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确实难以形成竞争的岗位，</w:t>
      </w:r>
      <w:r>
        <w:rPr>
          <w:rFonts w:hint="eastAsia" w:ascii="仿宋_GB2312" w:hAnsi="仿宋_GB2312" w:eastAsia="仿宋_GB2312" w:cs="仿宋_GB2312"/>
          <w:color w:val="000000" w:themeColor="text1"/>
          <w:sz w:val="32"/>
          <w:szCs w:val="32"/>
          <w:lang w:eastAsia="zh-CN"/>
          <w14:textFill>
            <w14:solidFill>
              <w14:schemeClr w14:val="tx1"/>
            </w14:solidFill>
          </w14:textFill>
        </w:rPr>
        <w:t>可不设开考比例；同一类别岗位计划可相互调剂，考生报考岗位取消招聘计划的，可改报同类别其他岗位。</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体育教师岗位面试采取试教</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+实操（专业技能测试）的方式，面试成绩=</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试教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实操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其他教师岗位</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面试采取试教方式，备课</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45分钟，试教15分钟。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主要考核</w:t>
      </w:r>
      <w:r>
        <w:rPr>
          <w:rFonts w:hint="eastAsia" w:ascii="仿宋_GB2312" w:hAnsi="仿宋_GB2312" w:eastAsia="仿宋_GB2312" w:cs="仿宋_GB2312"/>
          <w:color w:val="000000" w:themeColor="text1"/>
          <w:sz w:val="32"/>
          <w:szCs w:val="32"/>
          <w14:textFill>
            <w14:solidFill>
              <w14:schemeClr w14:val="tx1"/>
            </w14:solidFill>
          </w14:textFill>
        </w:rPr>
        <w:t>应聘者的教育教学水平、心理素质、语言表达、组织协调能力、仪表举止</w:t>
      </w:r>
      <w:r>
        <w:rPr>
          <w:rFonts w:hint="eastAsia" w:ascii="仿宋_GB2312" w:hAnsi="仿宋_GB2312" w:eastAsia="仿宋_GB2312" w:cs="仿宋_GB2312"/>
          <w:color w:val="000000" w:themeColor="text1"/>
          <w:sz w:val="32"/>
          <w:szCs w:val="32"/>
          <w:lang w:eastAsia="zh-CN"/>
          <w14:textFill>
            <w14:solidFill>
              <w14:schemeClr w14:val="tx1"/>
            </w14:solidFill>
          </w14:textFill>
        </w:rPr>
        <w:t>和专业技能</w:t>
      </w:r>
      <w:r>
        <w:rPr>
          <w:rFonts w:hint="eastAsia" w:ascii="仿宋_GB2312" w:hAnsi="仿宋_GB2312" w:eastAsia="仿宋_GB2312" w:cs="仿宋_GB2312"/>
          <w:color w:val="000000" w:themeColor="text1"/>
          <w:sz w:val="32"/>
          <w:szCs w:val="32"/>
          <w14:textFill>
            <w14:solidFill>
              <w14:schemeClr w14:val="tx1"/>
            </w14:solidFill>
          </w14:textFill>
        </w:rPr>
        <w:t>等综合素质。面试总分为</w:t>
      </w:r>
      <w:r>
        <w:rPr>
          <w:rFonts w:hint="default" w:ascii="Times New Roman" w:hAnsi="Times New Roman" w:eastAsia="仿宋_GB2312" w:cs="Times New Roman"/>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面试最低</w:t>
      </w:r>
      <w:r>
        <w:rPr>
          <w:rFonts w:hint="eastAsia" w:ascii="仿宋_GB2312" w:hAnsi="仿宋_GB2312" w:eastAsia="仿宋_GB2312" w:cs="仿宋_GB2312"/>
          <w:color w:val="000000" w:themeColor="text1"/>
          <w:sz w:val="32"/>
          <w:szCs w:val="32"/>
          <w14:textFill>
            <w14:solidFill>
              <w14:schemeClr w14:val="tx1"/>
            </w14:solidFill>
          </w14:textFill>
        </w:rPr>
        <w:t>合格线</w:t>
      </w:r>
      <w:r>
        <w:rPr>
          <w:rFonts w:hint="eastAsia" w:ascii="仿宋_GB2312" w:hAnsi="仿宋_GB2312" w:eastAsia="仿宋_GB2312" w:cs="仿宋_GB2312"/>
          <w:color w:val="000000" w:themeColor="text1"/>
          <w:sz w:val="32"/>
          <w:szCs w:val="32"/>
          <w:lang w:eastAsia="zh-CN"/>
          <w14:textFill>
            <w14:solidFill>
              <w14:schemeClr w14:val="tx1"/>
            </w14:solidFill>
          </w14:textFill>
        </w:rPr>
        <w:t>为同一岗位实际参加面试人员面试成绩（有效成绩）平均分数的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color w:val="000000" w:themeColor="text1"/>
          <w:sz w:val="32"/>
          <w:szCs w:val="32"/>
          <w14:textFill>
            <w14:solidFill>
              <w14:schemeClr w14:val="tx1"/>
            </w14:solidFill>
          </w14:textFill>
        </w:rPr>
        <w:t>体检考察</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综合成绩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=基础评分*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+面试成绩*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招聘计划</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w:t>
      </w:r>
      <w:r>
        <w:rPr>
          <w:rFonts w:hint="eastAsia" w:ascii="仿宋_GB2312" w:hAnsi="仿宋_GB2312" w:eastAsia="仿宋_GB2312" w:cs="仿宋_GB2312"/>
          <w:color w:val="000000" w:themeColor="text1"/>
          <w:sz w:val="32"/>
          <w:szCs w:val="32"/>
          <w14:textFill>
            <w14:solidFill>
              <w14:schemeClr w14:val="tx1"/>
            </w14:solidFill>
          </w14:textFill>
        </w:rPr>
        <w:t>成绩从高</w:t>
      </w:r>
      <w:r>
        <w:rPr>
          <w:rFonts w:hint="eastAsia" w:ascii="仿宋_GB2312" w:hAnsi="仿宋_GB2312" w:eastAsia="仿宋_GB2312" w:cs="仿宋_GB2312"/>
          <w:color w:val="000000" w:themeColor="text1"/>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到低</w:t>
      </w:r>
      <w:r>
        <w:rPr>
          <w:rFonts w:hint="eastAsia" w:ascii="仿宋_GB2312" w:hAnsi="仿宋_GB2312" w:eastAsia="仿宋_GB2312" w:cs="仿宋_GB2312"/>
          <w:color w:val="000000" w:themeColor="text1"/>
          <w:sz w:val="32"/>
          <w:szCs w:val="32"/>
          <w:lang w:eastAsia="zh-CN"/>
          <w14:textFill>
            <w14:solidFill>
              <w14:schemeClr w14:val="tx1"/>
            </w14:solidFill>
          </w14:textFill>
        </w:rPr>
        <w:t>分等额</w:t>
      </w:r>
      <w:r>
        <w:rPr>
          <w:rFonts w:hint="eastAsia" w:ascii="仿宋_GB2312" w:hAnsi="仿宋_GB2312" w:eastAsia="仿宋_GB2312" w:cs="仿宋_GB2312"/>
          <w:color w:val="000000" w:themeColor="text1"/>
          <w:sz w:val="32"/>
          <w:szCs w:val="32"/>
          <w14:textFill>
            <w14:solidFill>
              <w14:schemeClr w14:val="tx1"/>
            </w14:solidFill>
          </w14:textFill>
        </w:rPr>
        <w:t>确定</w:t>
      </w:r>
      <w:r>
        <w:rPr>
          <w:rFonts w:hint="eastAsia" w:ascii="仿宋_GB2312" w:hAnsi="仿宋_GB2312" w:eastAsia="仿宋_GB2312" w:cs="仿宋_GB2312"/>
          <w:color w:val="000000" w:themeColor="text1"/>
          <w:sz w:val="32"/>
          <w:szCs w:val="32"/>
          <w:lang w:eastAsia="zh-CN"/>
          <w14:textFill>
            <w14:solidFill>
              <w14:schemeClr w14:val="tx1"/>
            </w14:solidFill>
          </w14:textFill>
        </w:rPr>
        <w:t>体检对象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体检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和考察的</w:t>
      </w:r>
      <w:r>
        <w:rPr>
          <w:rFonts w:hint="eastAsia" w:ascii="仿宋_GB2312" w:hAnsi="仿宋_GB2312" w:eastAsia="仿宋_GB2312" w:cs="仿宋_GB2312"/>
          <w:b/>
          <w:bCs/>
          <w:color w:val="000000" w:themeColor="text1"/>
          <w:sz w:val="32"/>
          <w:szCs w:val="32"/>
          <w14:textFill>
            <w14:solidFill>
              <w14:schemeClr w14:val="tx1"/>
            </w14:solidFill>
          </w14:textFill>
        </w:rPr>
        <w:t>时间</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地点另行通知。</w:t>
      </w:r>
      <w:r>
        <w:rPr>
          <w:rFonts w:hint="eastAsia" w:ascii="仿宋_GB2312" w:hAnsi="仿宋_GB2312" w:eastAsia="仿宋_GB2312" w:cs="仿宋_GB2312"/>
          <w:color w:val="000000" w:themeColor="text1"/>
          <w:sz w:val="32"/>
          <w:szCs w:val="32"/>
          <w14:textFill>
            <w14:solidFill>
              <w14:schemeClr w14:val="tx1"/>
            </w14:solidFill>
          </w14:textFill>
        </w:rPr>
        <w:t>体检标准和项目按照《公务员录用体检通用标准（试行）》执行；考察侧重于思想政治表现、道德品质</w:t>
      </w:r>
      <w:r>
        <w:rPr>
          <w:rFonts w:hint="eastAsia" w:ascii="仿宋_GB2312" w:hAnsi="仿宋_GB2312" w:eastAsia="仿宋_GB2312" w:cs="仿宋_GB2312"/>
          <w:color w:val="000000" w:themeColor="text1"/>
          <w:sz w:val="32"/>
          <w:szCs w:val="32"/>
          <w:lang w:eastAsia="zh-CN"/>
          <w14:textFill>
            <w14:solidFill>
              <w14:schemeClr w14:val="tx1"/>
            </w14:solidFill>
          </w14:textFill>
        </w:rPr>
        <w:t>、心理素质</w:t>
      </w:r>
      <w:r>
        <w:rPr>
          <w:rFonts w:hint="eastAsia" w:ascii="仿宋_GB2312" w:hAnsi="仿宋_GB2312" w:eastAsia="仿宋_GB2312" w:cs="仿宋_GB2312"/>
          <w:color w:val="000000" w:themeColor="text1"/>
          <w:sz w:val="32"/>
          <w:szCs w:val="32"/>
          <w14:textFill>
            <w14:solidFill>
              <w14:schemeClr w14:val="tx1"/>
            </w14:solidFill>
          </w14:textFill>
        </w:rPr>
        <w:t>，以及与应聘岗位相关的业务能力和工作实绩等。体检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考察不合格</w:t>
      </w:r>
      <w:r>
        <w:rPr>
          <w:rFonts w:hint="eastAsia" w:ascii="仿宋_GB2312" w:hAnsi="仿宋_GB2312" w:eastAsia="仿宋_GB2312" w:cs="仿宋_GB2312"/>
          <w:color w:val="000000" w:themeColor="text1"/>
          <w:sz w:val="32"/>
          <w:szCs w:val="32"/>
          <w:lang w:eastAsia="zh-CN"/>
          <w14:textFill>
            <w14:solidFill>
              <w14:schemeClr w14:val="tx1"/>
            </w14:solidFill>
          </w14:textFill>
        </w:rPr>
        <w:t>的取消</w:t>
      </w:r>
      <w:r>
        <w:rPr>
          <w:rFonts w:hint="eastAsia" w:ascii="仿宋_GB2312" w:hAnsi="仿宋_GB2312" w:eastAsia="仿宋_GB2312" w:cs="仿宋_GB2312"/>
          <w:color w:val="000000" w:themeColor="text1"/>
          <w:sz w:val="32"/>
          <w:szCs w:val="32"/>
          <w14:textFill>
            <w14:solidFill>
              <w14:schemeClr w14:val="tx1"/>
            </w14:solidFill>
          </w14:textFill>
        </w:rPr>
        <w:t>招聘资格。</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（六）</w:t>
      </w:r>
      <w:r>
        <w:rPr>
          <w:rFonts w:hint="eastAsia" w:ascii="楷体_GB2312" w:hAnsi="楷体_GB2312" w:eastAsia="楷体_GB2312" w:cs="楷体_GB2312"/>
          <w:b/>
          <w:color w:val="000000" w:themeColor="text1"/>
          <w:sz w:val="32"/>
          <w:szCs w:val="32"/>
          <w14:textFill>
            <w14:solidFill>
              <w14:schemeClr w14:val="tx1"/>
            </w14:solidFill>
          </w14:textFill>
        </w:rPr>
        <w:t>公示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根据体检和考察结果确定拟聘用人员名单，在“华容县人民政府”网站对拟聘用人员进行公示。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因体检、考察不合格或放弃的，根据需要可按该岗位综合成绩从高分到低分依次进行递补。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3" w:firstLineChars="200"/>
        <w:jc w:val="both"/>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（七）</w:t>
      </w:r>
      <w:r>
        <w:rPr>
          <w:rFonts w:hint="eastAsia" w:ascii="楷体_GB2312" w:hAnsi="楷体_GB2312" w:eastAsia="楷体_GB2312" w:cs="楷体_GB2312"/>
          <w:b/>
          <w:color w:val="000000" w:themeColor="text1"/>
          <w:sz w:val="32"/>
          <w:szCs w:val="32"/>
          <w14:textFill>
            <w14:solidFill>
              <w14:schemeClr w14:val="tx1"/>
            </w14:solidFill>
          </w14:textFill>
        </w:rPr>
        <w:t>聘用</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公示无异议人员,按照人事管理相关规定办理聘用手续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年应届高校毕业生或</w:t>
      </w:r>
      <w:r>
        <w:rPr>
          <w:rFonts w:hint="eastAsia" w:ascii="仿宋_GB2312" w:hAnsi="仿宋_GB2312" w:eastAsia="仿宋_GB2312" w:cs="仿宋_GB2312"/>
          <w:color w:val="000000" w:themeColor="text1"/>
          <w:sz w:val="32"/>
          <w:szCs w:val="32"/>
          <w:lang w:eastAsia="zh-CN"/>
          <w14:textFill>
            <w14:solidFill>
              <w14:schemeClr w14:val="tx1"/>
            </w14:solidFill>
          </w14:textFill>
        </w:rPr>
        <w:t>尚未取得教师资格证书者，签订《预聘用意向协议书》；未及时签订《预聘用意向协议书》或未履行协议要求的，视为自行放弃</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六、有关政策</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被聘用人员均列入华容县全额拨款事业编制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须在华容县从事教育教学工作满</w:t>
      </w: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年,签订</w:t>
      </w:r>
      <w:r>
        <w:rPr>
          <w:rFonts w:hint="eastAsia" w:ascii="仿宋_GB2312" w:hAnsi="仿宋_GB2312" w:eastAsia="仿宋_GB2312" w:cs="仿宋_GB2312"/>
          <w:color w:val="000000" w:themeColor="text1"/>
          <w:sz w:val="32"/>
          <w:szCs w:val="32"/>
          <w:lang w:eastAsia="zh-CN"/>
          <w14:textFill>
            <w14:solidFill>
              <w14:schemeClr w14:val="tx1"/>
            </w14:solidFill>
          </w14:textFill>
        </w:rPr>
        <w:t>聘用合同</w:t>
      </w:r>
      <w:r>
        <w:rPr>
          <w:rFonts w:hint="eastAsia" w:ascii="仿宋_GB2312" w:hAnsi="仿宋_GB2312" w:eastAsia="仿宋_GB2312" w:cs="仿宋_GB2312"/>
          <w:color w:val="000000" w:themeColor="text1"/>
          <w:sz w:val="32"/>
          <w:szCs w:val="32"/>
          <w14:textFill>
            <w14:solidFill>
              <w14:schemeClr w14:val="tx1"/>
            </w14:solidFill>
          </w14:textFill>
        </w:rPr>
        <w:t>后放弃聘用或在服务期内申请办理辞职者,</w:t>
      </w:r>
      <w:r>
        <w:rPr>
          <w:rFonts w:hint="eastAsia" w:ascii="仿宋_GB2312" w:hAnsi="仿宋_GB2312" w:eastAsia="仿宋_GB2312" w:cs="仿宋_GB2312"/>
          <w:color w:val="000000" w:themeColor="text1"/>
          <w:sz w:val="32"/>
          <w:szCs w:val="32"/>
          <w:lang w:eastAsia="zh-CN"/>
          <w14:textFill>
            <w14:solidFill>
              <w14:schemeClr w14:val="tx1"/>
            </w14:solidFill>
          </w14:textFill>
        </w:rPr>
        <w:t>需</w:t>
      </w:r>
      <w:r>
        <w:rPr>
          <w:rFonts w:hint="eastAsia" w:ascii="仿宋_GB2312" w:hAnsi="仿宋_GB2312" w:eastAsia="仿宋_GB2312" w:cs="仿宋_GB2312"/>
          <w:color w:val="000000" w:themeColor="text1"/>
          <w:sz w:val="32"/>
          <w:szCs w:val="32"/>
          <w14:textFill>
            <w14:solidFill>
              <w14:schemeClr w14:val="tx1"/>
            </w14:solidFill>
          </w14:textFill>
        </w:rPr>
        <w:t>承担相应的违约责任。试用期满考核或岗前培训不合格者,取消聘用资格。</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符合我县人才政策规定的，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签订补充协议，享受我县人才住房保障、配偶随迁和子女入学等各项政策，给予</w:t>
      </w:r>
      <w:r>
        <w:rPr>
          <w:rFonts w:hint="eastAsia" w:ascii="仿宋_GB2312" w:hAnsi="仿宋_GB2312" w:eastAsia="仿宋_GB2312" w:cs="仿宋_GB2312"/>
          <w:color w:val="000000" w:themeColor="text1"/>
          <w:sz w:val="32"/>
          <w:szCs w:val="32"/>
          <w14:textFill>
            <w14:solidFill>
              <w14:schemeClr w14:val="tx1"/>
            </w14:solidFill>
          </w14:textFill>
        </w:rPr>
        <w:t>每人每月人才</w:t>
      </w:r>
      <w:r>
        <w:rPr>
          <w:rFonts w:hint="eastAsia" w:ascii="仿宋_GB2312" w:hAnsi="仿宋_GB2312" w:eastAsia="仿宋_GB2312" w:cs="仿宋_GB2312"/>
          <w:color w:val="000000" w:themeColor="text1"/>
          <w:sz w:val="32"/>
          <w:szCs w:val="32"/>
          <w:lang w:eastAsia="zh-CN"/>
          <w14:textFill>
            <w14:solidFill>
              <w14:schemeClr w14:val="tx1"/>
            </w14:solidFill>
          </w14:textFill>
        </w:rPr>
        <w:t>补贴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博士研究生</w:t>
      </w:r>
      <w:r>
        <w:rPr>
          <w:rFonts w:hint="default" w:ascii="Times New Roman" w:hAnsi="Times New Roman" w:eastAsia="仿宋_GB2312" w:cs="Times New Roman"/>
          <w:color w:val="000000" w:themeColor="text1"/>
          <w:sz w:val="32"/>
          <w:szCs w:val="32"/>
          <w14:textFill>
            <w14:solidFill>
              <w14:schemeClr w14:val="tx1"/>
            </w14:solidFill>
          </w14:textFill>
        </w:rPr>
        <w:t>3000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5000</w:t>
      </w:r>
      <w:r>
        <w:rPr>
          <w:rFonts w:hint="eastAsia" w:ascii="仿宋_GB2312" w:hAnsi="仿宋_GB2312" w:eastAsia="仿宋_GB2312" w:cs="仿宋_GB2312"/>
          <w:color w:val="000000" w:themeColor="text1"/>
          <w:sz w:val="32"/>
          <w:szCs w:val="32"/>
          <w14:textFill>
            <w14:solidFill>
              <w14:schemeClr w14:val="tx1"/>
            </w14:solidFill>
          </w14:textFill>
        </w:rPr>
        <w:t>元；硕士研究生</w:t>
      </w:r>
      <w:r>
        <w:rPr>
          <w:rFonts w:hint="default" w:ascii="Times New Roman" w:hAnsi="Times New Roman" w:eastAsia="仿宋_GB2312" w:cs="Times New Roman"/>
          <w:color w:val="000000" w:themeColor="text1"/>
          <w:sz w:val="32"/>
          <w:szCs w:val="32"/>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2000</w:t>
      </w:r>
      <w:r>
        <w:rPr>
          <w:rFonts w:hint="eastAsia" w:ascii="仿宋_GB2312" w:hAnsi="仿宋_GB2312" w:eastAsia="仿宋_GB2312" w:cs="仿宋_GB2312"/>
          <w:color w:val="000000" w:themeColor="text1"/>
          <w:sz w:val="32"/>
          <w:szCs w:val="32"/>
          <w14:textFill>
            <w14:solidFill>
              <w14:schemeClr w14:val="tx1"/>
            </w14:solidFill>
          </w14:textFill>
        </w:rPr>
        <w:t>元；“双一流”大学全日制本科生</w:t>
      </w:r>
      <w:r>
        <w:rPr>
          <w:rFonts w:hint="default" w:ascii="Times New Roman" w:hAnsi="Times New Roman" w:eastAsia="仿宋_GB2312" w:cs="Times New Roman"/>
          <w:color w:val="000000" w:themeColor="text1"/>
          <w:sz w:val="32"/>
          <w:szCs w:val="32"/>
          <w14:textFill>
            <w14:solidFill>
              <w14:schemeClr w14:val="tx1"/>
            </w14:solidFill>
          </w14:textFill>
        </w:rPr>
        <w:t>500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lang w:eastAsia="zh-CN"/>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（一）本次教师招聘工作全程接受纪检监察、新闻媒体、社会各界的监督。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（二）报名人员所提供信息要详实，如因信息填写不详细、不真实而影响引进的，由本人负责。在引进工作期间，要保持通讯畅通，因个人原因造成信息沟通不畅而影响引进的，由本人负责。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未尽事宜,由</w:t>
      </w:r>
      <w:r>
        <w:rPr>
          <w:rFonts w:hint="eastAsia" w:ascii="仿宋_GB2312" w:hAnsi="仿宋_GB2312" w:eastAsia="仿宋_GB2312" w:cs="仿宋_GB2312"/>
          <w:color w:val="000000" w:themeColor="text1"/>
          <w:sz w:val="32"/>
          <w:szCs w:val="32"/>
          <w:lang w:eastAsia="zh-CN"/>
          <w14:textFill>
            <w14:solidFill>
              <w14:schemeClr w14:val="tx1"/>
            </w14:solidFill>
          </w14:textFill>
        </w:rPr>
        <w:t>中共华容县委人才工作领导小组办公室</w:t>
      </w:r>
      <w:r>
        <w:rPr>
          <w:rFonts w:hint="eastAsia" w:ascii="仿宋_GB2312" w:hAnsi="仿宋_GB2312" w:eastAsia="仿宋_GB2312" w:cs="仿宋_GB2312"/>
          <w:color w:val="000000" w:themeColor="text1"/>
          <w:sz w:val="32"/>
          <w:szCs w:val="32"/>
          <w14:textFill>
            <w14:solidFill>
              <w14:schemeClr w14:val="tx1"/>
            </w14:solidFill>
          </w14:textFill>
        </w:rPr>
        <w:t>负责解释。咨询电话: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07304188382（县委人才办）、</w:t>
      </w:r>
      <w:r>
        <w:rPr>
          <w:rFonts w:hint="default" w:ascii="Times New Roman" w:hAnsi="Times New Roman" w:eastAsia="仿宋_GB2312" w:cs="Times New Roman"/>
          <w:color w:val="000000" w:themeColor="text1"/>
          <w:sz w:val="32"/>
          <w:szCs w:val="32"/>
          <w14:textFill>
            <w14:solidFill>
              <w14:schemeClr w14:val="tx1"/>
            </w14:solidFill>
          </w14:textFill>
        </w:rPr>
        <w:t>07304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106412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华容一中）</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1918" w:leftChars="304" w:hanging="1280" w:hangingChars="400"/>
        <w:jc w:val="both"/>
        <w:textAlignment w:val="auto"/>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pacing w:val="-11"/>
          <w:sz w:val="32"/>
          <w:szCs w:val="32"/>
          <w14:textFill>
            <w14:solidFill>
              <w14:schemeClr w14:val="tx1"/>
            </w14:solidFill>
          </w14:textFill>
        </w:rPr>
        <w:t>2024</w:t>
      </w:r>
      <w:r>
        <w:rPr>
          <w:rFonts w:hint="eastAsia" w:ascii="仿宋_GB2312" w:hAnsi="仿宋_GB2312" w:eastAsia="仿宋_GB2312" w:cs="仿宋_GB2312"/>
          <w:color w:val="000000" w:themeColor="text1"/>
          <w:spacing w:val="-11"/>
          <w:sz w:val="32"/>
          <w:szCs w:val="32"/>
          <w14:textFill>
            <w14:solidFill>
              <w14:schemeClr w14:val="tx1"/>
            </w14:solidFill>
          </w14:textFill>
        </w:rPr>
        <w:t>年华容一中“四海揽才”招聘教师</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岗位计划表</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1600" w:firstLineChars="5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年华容一中“四海揽才”招聘教师报名表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2739" w:firstLineChars="856"/>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中共华容县委人才工作领导小组办公室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4297" w:firstLineChars="1343"/>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日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仿宋_GB2312" w:eastAsia="仿宋_GB2312"/>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984" w:right="1701" w:bottom="1984" w:left="1701" w:header="851" w:footer="1559" w:gutter="0"/>
          <w:pgNumType w:fmt="numberInDash"/>
          <w:cols w:space="0" w:num="1"/>
          <w:rtlGutter w:val="0"/>
          <w:docGrid w:type="lines" w:linePitch="312" w:charSpace="0"/>
        </w:sectPr>
      </w:pPr>
    </w:p>
    <w:p>
      <w:pPr>
        <w:widowControl/>
        <w:snapToGrid w:val="0"/>
        <w:spacing w:beforeLines="0" w:afterLines="0"/>
        <w:rPr>
          <w:rFonts w:ascii="黑体" w:hAnsi="黑体" w:eastAsia="黑体" w:cs="宋体"/>
          <w:bCs/>
          <w:kern w:val="0"/>
          <w:sz w:val="32"/>
          <w:szCs w:val="32"/>
        </w:rPr>
      </w:pPr>
      <w:r>
        <w:rPr>
          <w:rFonts w:hint="eastAsia" w:ascii="黑体" w:hAnsi="黑体" w:eastAsia="黑体" w:cs="宋体"/>
          <w:bCs/>
          <w:kern w:val="0"/>
          <w:sz w:val="32"/>
          <w:szCs w:val="32"/>
        </w:rPr>
        <w:t>附件</w:t>
      </w:r>
      <w:r>
        <w:rPr>
          <w:rFonts w:ascii="黑体" w:hAnsi="黑体" w:eastAsia="黑体" w:cs="宋体"/>
          <w:bCs/>
          <w:kern w:val="0"/>
          <w:sz w:val="32"/>
          <w:szCs w:val="32"/>
        </w:rPr>
        <w:t>1</w:t>
      </w:r>
    </w:p>
    <w:p>
      <w:pPr>
        <w:keepNext w:val="0"/>
        <w:keepLines w:val="0"/>
        <w:pageBreakBefore w:val="0"/>
        <w:widowControl/>
        <w:kinsoku/>
        <w:wordWrap/>
        <w:overflowPunct/>
        <w:topLinePunct w:val="0"/>
        <w:autoSpaceDE/>
        <w:autoSpaceDN/>
        <w:bidi w:val="0"/>
        <w:adjustRightInd/>
        <w:snapToGrid w:val="0"/>
        <w:spacing w:before="157" w:beforeLines="50" w:after="157" w:afterLines="50"/>
        <w:jc w:val="center"/>
        <w:textAlignment w:val="auto"/>
        <w:rPr>
          <w:rFonts w:hint="eastAsia" w:ascii="方正小标宋简体" w:hAnsi="方正小标宋简体" w:eastAsia="方正小标宋简体" w:cs="方正小标宋简体"/>
          <w:b w:val="0"/>
          <w:bCs w:val="0"/>
          <w:kern w:val="0"/>
          <w:sz w:val="40"/>
          <w:szCs w:val="40"/>
        </w:rPr>
      </w:pPr>
      <w:r>
        <w:rPr>
          <w:rFonts w:hint="eastAsia" w:ascii="方正小标宋简体" w:hAnsi="方正小标宋简体" w:eastAsia="方正小标宋简体" w:cs="方正小标宋简体"/>
          <w:b w:val="0"/>
          <w:bCs w:val="0"/>
          <w:kern w:val="0"/>
          <w:sz w:val="40"/>
          <w:szCs w:val="40"/>
        </w:rPr>
        <w:t>2024年华容一中“四海揽才”招聘教师岗位计划表</w:t>
      </w:r>
    </w:p>
    <w:tbl>
      <w:tblPr>
        <w:tblStyle w:val="5"/>
        <w:tblW w:w="13766" w:type="dxa"/>
        <w:jc w:val="center"/>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96"/>
        <w:gridCol w:w="832"/>
        <w:gridCol w:w="641"/>
        <w:gridCol w:w="600"/>
        <w:gridCol w:w="899"/>
        <w:gridCol w:w="1513"/>
        <w:gridCol w:w="3111"/>
        <w:gridCol w:w="3785"/>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12" w:hRule="atLeast"/>
          <w:tblHeader/>
          <w:jc w:val="center"/>
        </w:trPr>
        <w:tc>
          <w:tcPr>
            <w:tcW w:w="1396" w:type="dxa"/>
            <w:vAlign w:val="center"/>
          </w:tcPr>
          <w:p>
            <w:pPr>
              <w:widowControl/>
              <w:snapToGrid w:val="0"/>
              <w:spacing w:beforeLines="0" w:afterLines="0"/>
              <w:jc w:val="center"/>
              <w:rPr>
                <w:rFonts w:hint="eastAsia" w:ascii="黑体" w:hAnsi="黑体" w:eastAsia="黑体" w:cs="黑体"/>
                <w:kern w:val="0"/>
                <w:sz w:val="24"/>
                <w:szCs w:val="24"/>
              </w:rPr>
            </w:pPr>
            <w:r>
              <w:rPr>
                <w:rFonts w:hint="eastAsia" w:ascii="黑体" w:hAnsi="黑体" w:eastAsia="黑体" w:cs="黑体"/>
                <w:kern w:val="0"/>
                <w:sz w:val="24"/>
                <w:szCs w:val="24"/>
              </w:rPr>
              <w:t>招聘岗位</w:t>
            </w:r>
          </w:p>
        </w:tc>
        <w:tc>
          <w:tcPr>
            <w:tcW w:w="832" w:type="dxa"/>
            <w:vAlign w:val="center"/>
          </w:tcPr>
          <w:p>
            <w:pPr>
              <w:widowControl/>
              <w:snapToGrid w:val="0"/>
              <w:spacing w:beforeLines="0" w:afterLines="0"/>
              <w:jc w:val="center"/>
              <w:rPr>
                <w:rFonts w:hint="eastAsia" w:ascii="黑体" w:hAnsi="黑体" w:eastAsia="黑体" w:cs="黑体"/>
                <w:sz w:val="24"/>
                <w:szCs w:val="24"/>
              </w:rPr>
            </w:pPr>
            <w:r>
              <w:rPr>
                <w:rFonts w:hint="eastAsia" w:ascii="黑体" w:hAnsi="黑体" w:eastAsia="黑体" w:cs="黑体"/>
                <w:kern w:val="0"/>
                <w:sz w:val="24"/>
                <w:szCs w:val="24"/>
              </w:rPr>
              <w:t>招聘</w:t>
            </w:r>
            <w:r>
              <w:rPr>
                <w:rFonts w:hint="eastAsia" w:ascii="黑体" w:hAnsi="黑体" w:eastAsia="黑体" w:cs="黑体"/>
                <w:kern w:val="0"/>
                <w:sz w:val="24"/>
                <w:szCs w:val="24"/>
                <w:lang w:eastAsia="zh-CN"/>
              </w:rPr>
              <w:t>岗位</w:t>
            </w:r>
            <w:r>
              <w:rPr>
                <w:rFonts w:hint="eastAsia" w:ascii="黑体" w:hAnsi="黑体" w:eastAsia="黑体" w:cs="黑体"/>
                <w:kern w:val="0"/>
                <w:sz w:val="24"/>
                <w:szCs w:val="24"/>
              </w:rPr>
              <w:t>代码</w:t>
            </w:r>
          </w:p>
        </w:tc>
        <w:tc>
          <w:tcPr>
            <w:tcW w:w="641" w:type="dxa"/>
            <w:vAlign w:val="center"/>
          </w:tcPr>
          <w:p>
            <w:pPr>
              <w:widowControl/>
              <w:snapToGrid w:val="0"/>
              <w:spacing w:beforeLines="0" w:afterLines="0"/>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招聘人数</w:t>
            </w:r>
          </w:p>
        </w:tc>
        <w:tc>
          <w:tcPr>
            <w:tcW w:w="600" w:type="dxa"/>
            <w:vAlign w:val="center"/>
          </w:tcPr>
          <w:p>
            <w:pPr>
              <w:widowControl/>
              <w:snapToGrid w:val="0"/>
              <w:spacing w:beforeLines="0" w:afterLines="0"/>
              <w:jc w:val="center"/>
              <w:rPr>
                <w:rFonts w:hint="eastAsia" w:ascii="黑体" w:hAnsi="黑体" w:eastAsia="黑体" w:cs="黑体"/>
                <w:kern w:val="0"/>
                <w:sz w:val="24"/>
                <w:szCs w:val="24"/>
              </w:rPr>
            </w:pPr>
            <w:r>
              <w:rPr>
                <w:rFonts w:hint="eastAsia" w:ascii="黑体" w:hAnsi="黑体" w:eastAsia="黑体" w:cs="黑体"/>
                <w:kern w:val="0"/>
                <w:sz w:val="24"/>
                <w:szCs w:val="24"/>
              </w:rPr>
              <w:t>性别</w:t>
            </w:r>
          </w:p>
        </w:tc>
        <w:tc>
          <w:tcPr>
            <w:tcW w:w="899" w:type="dxa"/>
            <w:vAlign w:val="center"/>
          </w:tcPr>
          <w:p>
            <w:pPr>
              <w:widowControl/>
              <w:snapToGrid w:val="0"/>
              <w:spacing w:beforeLines="0" w:afterLines="0"/>
              <w:jc w:val="center"/>
              <w:rPr>
                <w:rFonts w:hint="eastAsia" w:ascii="黑体" w:hAnsi="黑体" w:eastAsia="黑体" w:cs="黑体"/>
                <w:kern w:val="0"/>
                <w:sz w:val="24"/>
                <w:szCs w:val="24"/>
              </w:rPr>
            </w:pPr>
            <w:r>
              <w:rPr>
                <w:rFonts w:hint="eastAsia" w:ascii="黑体" w:hAnsi="黑体" w:eastAsia="黑体" w:cs="黑体"/>
                <w:kern w:val="0"/>
                <w:sz w:val="24"/>
                <w:szCs w:val="24"/>
              </w:rPr>
              <w:t>年龄</w:t>
            </w:r>
          </w:p>
          <w:p>
            <w:pPr>
              <w:widowControl/>
              <w:snapToGrid w:val="0"/>
              <w:spacing w:beforeLines="0" w:afterLines="0"/>
              <w:jc w:val="center"/>
              <w:rPr>
                <w:rFonts w:hint="eastAsia" w:ascii="黑体" w:hAnsi="黑体" w:eastAsia="黑体" w:cs="黑体"/>
                <w:kern w:val="0"/>
                <w:sz w:val="24"/>
                <w:szCs w:val="24"/>
              </w:rPr>
            </w:pPr>
            <w:r>
              <w:rPr>
                <w:rFonts w:hint="eastAsia" w:ascii="黑体" w:hAnsi="黑体" w:eastAsia="黑体" w:cs="黑体"/>
                <w:kern w:val="0"/>
                <w:sz w:val="24"/>
                <w:szCs w:val="24"/>
              </w:rPr>
              <w:t>要求</w:t>
            </w:r>
          </w:p>
        </w:tc>
        <w:tc>
          <w:tcPr>
            <w:tcW w:w="1513" w:type="dxa"/>
            <w:vAlign w:val="center"/>
          </w:tcPr>
          <w:p>
            <w:pPr>
              <w:widowControl/>
              <w:snapToGrid w:val="0"/>
              <w:spacing w:beforeLines="0" w:afterLines="0"/>
              <w:jc w:val="center"/>
              <w:rPr>
                <w:rFonts w:hint="eastAsia" w:ascii="黑体" w:hAnsi="黑体" w:eastAsia="黑体" w:cs="黑体"/>
                <w:sz w:val="24"/>
                <w:szCs w:val="24"/>
              </w:rPr>
            </w:pPr>
            <w:r>
              <w:rPr>
                <w:rFonts w:hint="eastAsia" w:ascii="黑体" w:hAnsi="黑体" w:eastAsia="黑体" w:cs="黑体"/>
                <w:kern w:val="0"/>
                <w:sz w:val="24"/>
                <w:szCs w:val="24"/>
              </w:rPr>
              <w:t>学历学位要求</w:t>
            </w:r>
          </w:p>
        </w:tc>
        <w:tc>
          <w:tcPr>
            <w:tcW w:w="3111" w:type="dxa"/>
            <w:vAlign w:val="center"/>
          </w:tcPr>
          <w:p>
            <w:pPr>
              <w:widowControl/>
              <w:snapToGrid w:val="0"/>
              <w:spacing w:beforeLines="0" w:afterLines="0"/>
              <w:jc w:val="center"/>
              <w:rPr>
                <w:rFonts w:hint="eastAsia" w:ascii="黑体" w:hAnsi="黑体" w:eastAsia="黑体" w:cs="黑体"/>
                <w:kern w:val="0"/>
                <w:sz w:val="24"/>
                <w:szCs w:val="24"/>
              </w:rPr>
            </w:pPr>
            <w:r>
              <w:rPr>
                <w:rFonts w:hint="eastAsia" w:ascii="黑体" w:hAnsi="黑体" w:eastAsia="黑体" w:cs="黑体"/>
                <w:kern w:val="0"/>
                <w:sz w:val="24"/>
                <w:szCs w:val="24"/>
              </w:rPr>
              <w:t>专业要求</w:t>
            </w:r>
          </w:p>
        </w:tc>
        <w:tc>
          <w:tcPr>
            <w:tcW w:w="3785" w:type="dxa"/>
            <w:vAlign w:val="center"/>
          </w:tcPr>
          <w:p>
            <w:pPr>
              <w:widowControl/>
              <w:snapToGrid w:val="0"/>
              <w:spacing w:beforeLines="0" w:afterLines="0"/>
              <w:jc w:val="center"/>
              <w:rPr>
                <w:rFonts w:hint="eastAsia" w:ascii="黑体" w:hAnsi="黑体" w:eastAsia="黑体" w:cs="黑体"/>
                <w:kern w:val="0"/>
                <w:sz w:val="24"/>
                <w:szCs w:val="24"/>
              </w:rPr>
            </w:pPr>
            <w:r>
              <w:rPr>
                <w:rFonts w:hint="eastAsia" w:ascii="黑体" w:hAnsi="黑体" w:eastAsia="黑体" w:cs="黑体"/>
                <w:kern w:val="0"/>
                <w:sz w:val="24"/>
                <w:szCs w:val="24"/>
              </w:rPr>
              <w:t>其他条件</w:t>
            </w:r>
          </w:p>
        </w:tc>
        <w:tc>
          <w:tcPr>
            <w:tcW w:w="989" w:type="dxa"/>
            <w:vAlign w:val="center"/>
          </w:tcPr>
          <w:p>
            <w:pPr>
              <w:widowControl/>
              <w:snapToGrid w:val="0"/>
              <w:spacing w:beforeLines="0" w:afterLines="0"/>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03"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高中数学</w:t>
            </w:r>
          </w:p>
        </w:tc>
        <w:tc>
          <w:tcPr>
            <w:tcW w:w="832"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A1</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硕士研究生或</w:t>
            </w:r>
            <w:r>
              <w:rPr>
                <w:rFonts w:hint="eastAsia" w:ascii="仿宋_GB2312" w:hAnsi="仿宋_GB2312" w:eastAsia="仿宋_GB2312" w:cs="仿宋_GB2312"/>
                <w:kern w:val="0"/>
                <w:sz w:val="24"/>
                <w:szCs w:val="24"/>
              </w:rPr>
              <w:t>重点高校本科学士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本科：数学与应用数学</w:t>
            </w:r>
          </w:p>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研究生：数学与统计类</w:t>
            </w:r>
          </w:p>
        </w:tc>
        <w:tc>
          <w:tcPr>
            <w:tcW w:w="3785" w:type="dxa"/>
            <w:vAlign w:val="center"/>
          </w:tcPr>
          <w:p>
            <w:pPr>
              <w:widowControl/>
              <w:snapToGrid w:val="0"/>
              <w:spacing w:beforeLines="0" w:afterLines="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r>
              <w:rPr>
                <w:rFonts w:hint="eastAsia" w:ascii="仿宋_GB2312" w:hAnsi="仿宋_GB2312" w:eastAsia="仿宋_GB2312" w:cs="仿宋_GB2312"/>
                <w:color w:val="000000"/>
                <w:kern w:val="0"/>
                <w:sz w:val="24"/>
                <w:szCs w:val="24"/>
                <w:lang w:eastAsia="zh-CN"/>
              </w:rPr>
              <w:t>。</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限高校毕业生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9"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高中数学</w:t>
            </w:r>
          </w:p>
        </w:tc>
        <w:tc>
          <w:tcPr>
            <w:tcW w:w="832"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A2</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硕士研究生或</w:t>
            </w:r>
            <w:r>
              <w:rPr>
                <w:rFonts w:hint="eastAsia" w:ascii="仿宋_GB2312" w:hAnsi="仿宋_GB2312" w:eastAsia="仿宋_GB2312" w:cs="仿宋_GB2312"/>
                <w:kern w:val="0"/>
                <w:sz w:val="24"/>
                <w:szCs w:val="24"/>
              </w:rPr>
              <w:t>重点高校本科学士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本科：数学与应用数学</w:t>
            </w:r>
          </w:p>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研究生：数学与统计类</w:t>
            </w:r>
          </w:p>
        </w:tc>
        <w:tc>
          <w:tcPr>
            <w:tcW w:w="3785" w:type="dxa"/>
            <w:vAlign w:val="center"/>
          </w:tcPr>
          <w:p>
            <w:pPr>
              <w:widowControl/>
              <w:snapToGrid w:val="0"/>
              <w:spacing w:beforeLines="0" w:afterLines="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r>
              <w:rPr>
                <w:rFonts w:hint="eastAsia" w:ascii="仿宋_GB2312" w:hAnsi="仿宋_GB2312" w:eastAsia="仿宋_GB2312" w:cs="仿宋_GB2312"/>
                <w:color w:val="000000"/>
                <w:kern w:val="0"/>
                <w:sz w:val="24"/>
                <w:szCs w:val="24"/>
                <w:lang w:eastAsia="zh-CN"/>
              </w:rPr>
              <w:t>。</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9"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高中物理</w:t>
            </w:r>
          </w:p>
        </w:tc>
        <w:tc>
          <w:tcPr>
            <w:tcW w:w="832"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A3</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硕士研究生或</w:t>
            </w:r>
            <w:r>
              <w:rPr>
                <w:rFonts w:hint="eastAsia" w:ascii="仿宋_GB2312" w:hAnsi="仿宋_GB2312" w:eastAsia="仿宋_GB2312" w:cs="仿宋_GB2312"/>
                <w:kern w:val="0"/>
                <w:sz w:val="24"/>
                <w:szCs w:val="24"/>
              </w:rPr>
              <w:t>重点高校本科学士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本科：物理学</w:t>
            </w:r>
          </w:p>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研究生：物理学类</w:t>
            </w:r>
          </w:p>
        </w:tc>
        <w:tc>
          <w:tcPr>
            <w:tcW w:w="3785" w:type="dxa"/>
            <w:vAlign w:val="center"/>
          </w:tcPr>
          <w:p>
            <w:pPr>
              <w:widowControl/>
              <w:snapToGrid w:val="0"/>
              <w:spacing w:beforeLines="0" w:afterLines="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r>
              <w:rPr>
                <w:rFonts w:hint="eastAsia" w:ascii="仿宋_GB2312" w:hAnsi="仿宋_GB2312" w:eastAsia="仿宋_GB2312" w:cs="仿宋_GB2312"/>
                <w:color w:val="000000"/>
                <w:kern w:val="0"/>
                <w:sz w:val="24"/>
                <w:szCs w:val="24"/>
                <w:lang w:eastAsia="zh-CN"/>
              </w:rPr>
              <w:t>。</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限高校毕业生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9"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高中物理</w:t>
            </w:r>
          </w:p>
        </w:tc>
        <w:tc>
          <w:tcPr>
            <w:tcW w:w="832"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A4</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硕士研究生或</w:t>
            </w:r>
            <w:r>
              <w:rPr>
                <w:rFonts w:hint="eastAsia" w:ascii="仿宋_GB2312" w:hAnsi="仿宋_GB2312" w:eastAsia="仿宋_GB2312" w:cs="仿宋_GB2312"/>
                <w:kern w:val="0"/>
                <w:sz w:val="24"/>
                <w:szCs w:val="24"/>
              </w:rPr>
              <w:t>重点高校本科学士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本科：物理学</w:t>
            </w:r>
          </w:p>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研究生：物理学类</w:t>
            </w:r>
          </w:p>
        </w:tc>
        <w:tc>
          <w:tcPr>
            <w:tcW w:w="3785" w:type="dxa"/>
            <w:vAlign w:val="center"/>
          </w:tcPr>
          <w:p>
            <w:pPr>
              <w:widowControl/>
              <w:snapToGrid w:val="0"/>
              <w:spacing w:beforeLines="0" w:afterLines="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r>
              <w:rPr>
                <w:rFonts w:hint="eastAsia" w:ascii="仿宋_GB2312" w:hAnsi="仿宋_GB2312" w:eastAsia="仿宋_GB2312" w:cs="仿宋_GB2312"/>
                <w:color w:val="000000"/>
                <w:kern w:val="0"/>
                <w:sz w:val="24"/>
                <w:szCs w:val="24"/>
                <w:lang w:eastAsia="zh-CN"/>
              </w:rPr>
              <w:t>。</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9"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高中化学</w:t>
            </w:r>
          </w:p>
        </w:tc>
        <w:tc>
          <w:tcPr>
            <w:tcW w:w="832"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A5</w:t>
            </w:r>
            <w:r>
              <w:rPr>
                <w:rFonts w:hint="eastAsia" w:ascii="仿宋_GB2312" w:hAnsi="仿宋_GB2312" w:eastAsia="仿宋_GB2312" w:cs="仿宋_GB2312"/>
                <w:kern w:val="0"/>
                <w:sz w:val="24"/>
                <w:szCs w:val="24"/>
              </w:rPr>
              <w:t>　</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硕士研究生或</w:t>
            </w:r>
            <w:r>
              <w:rPr>
                <w:rFonts w:hint="eastAsia" w:ascii="仿宋_GB2312" w:hAnsi="仿宋_GB2312" w:eastAsia="仿宋_GB2312" w:cs="仿宋_GB2312"/>
                <w:kern w:val="0"/>
                <w:sz w:val="24"/>
                <w:szCs w:val="24"/>
              </w:rPr>
              <w:t>师范类重点高校本科学士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本科：化学</w:t>
            </w:r>
          </w:p>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研究生：化学类、材料类</w:t>
            </w:r>
          </w:p>
        </w:tc>
        <w:tc>
          <w:tcPr>
            <w:tcW w:w="3785" w:type="dxa"/>
            <w:vAlign w:val="center"/>
          </w:tcPr>
          <w:p>
            <w:pPr>
              <w:widowControl/>
              <w:snapToGrid w:val="0"/>
              <w:spacing w:beforeLines="0" w:afterLines="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限高校毕业生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9"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高中生物</w:t>
            </w:r>
          </w:p>
        </w:tc>
        <w:tc>
          <w:tcPr>
            <w:tcW w:w="832"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A6</w:t>
            </w:r>
            <w:r>
              <w:rPr>
                <w:rFonts w:hint="eastAsia" w:ascii="仿宋_GB2312" w:hAnsi="仿宋_GB2312" w:eastAsia="仿宋_GB2312" w:cs="仿宋_GB2312"/>
                <w:kern w:val="0"/>
                <w:sz w:val="24"/>
                <w:szCs w:val="24"/>
              </w:rPr>
              <w:t>　</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硕士研究生或</w:t>
            </w:r>
            <w:r>
              <w:rPr>
                <w:rFonts w:hint="eastAsia" w:ascii="仿宋_GB2312" w:hAnsi="仿宋_GB2312" w:eastAsia="仿宋_GB2312" w:cs="仿宋_GB2312"/>
                <w:kern w:val="0"/>
                <w:sz w:val="24"/>
                <w:szCs w:val="24"/>
              </w:rPr>
              <w:t>重点高校本科学士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本科：生物科学</w:t>
            </w:r>
          </w:p>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研究生：生物学类、食品与生物类</w:t>
            </w:r>
          </w:p>
        </w:tc>
        <w:tc>
          <w:tcPr>
            <w:tcW w:w="3785" w:type="dxa"/>
            <w:vAlign w:val="center"/>
          </w:tcPr>
          <w:p>
            <w:pPr>
              <w:widowControl/>
              <w:snapToGrid w:val="0"/>
              <w:spacing w:beforeLines="0" w:afterLines="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9"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高中历史</w:t>
            </w:r>
          </w:p>
        </w:tc>
        <w:tc>
          <w:tcPr>
            <w:tcW w:w="832"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A7</w:t>
            </w:r>
            <w:r>
              <w:rPr>
                <w:rFonts w:hint="eastAsia" w:ascii="仿宋_GB2312" w:hAnsi="仿宋_GB2312" w:eastAsia="仿宋_GB2312" w:cs="仿宋_GB2312"/>
                <w:kern w:val="0"/>
                <w:sz w:val="24"/>
                <w:szCs w:val="24"/>
              </w:rPr>
              <w:t>　</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硕士研究生或</w:t>
            </w:r>
            <w:r>
              <w:rPr>
                <w:rFonts w:hint="eastAsia" w:ascii="仿宋_GB2312" w:hAnsi="仿宋_GB2312" w:eastAsia="仿宋_GB2312" w:cs="仿宋_GB2312"/>
                <w:kern w:val="0"/>
                <w:sz w:val="24"/>
                <w:szCs w:val="24"/>
              </w:rPr>
              <w:t>重点高校本科学士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本科：历史学</w:t>
            </w:r>
          </w:p>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研究生：历史学类</w:t>
            </w:r>
          </w:p>
        </w:tc>
        <w:tc>
          <w:tcPr>
            <w:tcW w:w="3785" w:type="dxa"/>
            <w:vAlign w:val="center"/>
          </w:tcPr>
          <w:p>
            <w:pPr>
              <w:widowControl/>
              <w:snapToGrid w:val="0"/>
              <w:spacing w:beforeLines="0" w:afterLines="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限高校毕业生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21"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高中体育</w:t>
            </w:r>
          </w:p>
        </w:tc>
        <w:tc>
          <w:tcPr>
            <w:tcW w:w="832"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A8</w:t>
            </w:r>
            <w:r>
              <w:rPr>
                <w:rFonts w:hint="eastAsia" w:ascii="仿宋_GB2312" w:hAnsi="仿宋_GB2312" w:eastAsia="仿宋_GB2312" w:cs="仿宋_GB2312"/>
                <w:kern w:val="0"/>
                <w:sz w:val="24"/>
                <w:szCs w:val="24"/>
              </w:rPr>
              <w:t>　</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重点高校</w:t>
            </w:r>
            <w:r>
              <w:rPr>
                <w:rFonts w:hint="eastAsia" w:ascii="仿宋_GB2312" w:hAnsi="仿宋_GB2312" w:eastAsia="仿宋_GB2312" w:cs="仿宋_GB2312"/>
                <w:kern w:val="0"/>
                <w:sz w:val="24"/>
                <w:szCs w:val="24"/>
                <w:lang w:eastAsia="zh-CN"/>
              </w:rPr>
              <w:t>或专业院校</w:t>
            </w:r>
            <w:r>
              <w:rPr>
                <w:rFonts w:hint="eastAsia" w:ascii="仿宋_GB2312" w:hAnsi="仿宋_GB2312" w:eastAsia="仿宋_GB2312" w:cs="仿宋_GB2312"/>
                <w:kern w:val="0"/>
                <w:sz w:val="24"/>
                <w:szCs w:val="24"/>
              </w:rPr>
              <w:t>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w:t>
            </w:r>
            <w:r>
              <w:rPr>
                <w:rFonts w:hint="eastAsia" w:ascii="仿宋_GB2312" w:hAnsi="仿宋_GB2312" w:eastAsia="仿宋_GB2312" w:cs="仿宋_GB2312"/>
                <w:kern w:val="0"/>
                <w:sz w:val="24"/>
                <w:szCs w:val="24"/>
              </w:rPr>
              <w:t>体育</w:t>
            </w:r>
            <w:r>
              <w:rPr>
                <w:rFonts w:hint="eastAsia" w:ascii="仿宋_GB2312" w:hAnsi="仿宋_GB2312" w:eastAsia="仿宋_GB2312" w:cs="仿宋_GB2312"/>
                <w:kern w:val="0"/>
                <w:sz w:val="24"/>
                <w:szCs w:val="24"/>
                <w:lang w:eastAsia="zh-CN"/>
              </w:rPr>
              <w:t>教育、运动训练</w:t>
            </w:r>
          </w:p>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研究生：</w:t>
            </w:r>
            <w:r>
              <w:rPr>
                <w:rFonts w:hint="eastAsia" w:ascii="仿宋_GB2312" w:hAnsi="仿宋_GB2312" w:eastAsia="仿宋_GB2312" w:cs="仿宋_GB2312"/>
                <w:kern w:val="0"/>
                <w:sz w:val="24"/>
                <w:szCs w:val="24"/>
              </w:rPr>
              <w:t>体育</w:t>
            </w:r>
            <w:r>
              <w:rPr>
                <w:rFonts w:hint="eastAsia" w:ascii="仿宋_GB2312" w:hAnsi="仿宋_GB2312" w:eastAsia="仿宋_GB2312" w:cs="仿宋_GB2312"/>
                <w:kern w:val="0"/>
                <w:sz w:val="24"/>
                <w:szCs w:val="24"/>
                <w:lang w:eastAsia="zh-CN"/>
              </w:rPr>
              <w:t>学类</w:t>
            </w:r>
          </w:p>
        </w:tc>
        <w:tc>
          <w:tcPr>
            <w:tcW w:w="3785" w:type="dxa"/>
            <w:vAlign w:val="center"/>
          </w:tcPr>
          <w:p>
            <w:pPr>
              <w:widowControl/>
              <w:numPr>
                <w:ilvl w:val="0"/>
                <w:numId w:val="0"/>
              </w:numPr>
              <w:snapToGrid w:val="0"/>
              <w:spacing w:beforeLines="0" w:afterLines="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2.普通话二级乙等及以上</w:t>
            </w:r>
            <w:r>
              <w:rPr>
                <w:rFonts w:hint="eastAsia" w:ascii="仿宋_GB2312" w:hAnsi="仿宋_GB2312" w:eastAsia="仿宋_GB2312" w:cs="仿宋_GB2312"/>
                <w:color w:val="000000"/>
                <w:kern w:val="0"/>
                <w:sz w:val="24"/>
                <w:szCs w:val="24"/>
                <w:lang w:eastAsia="zh-CN"/>
              </w:rPr>
              <w:t>；</w:t>
            </w:r>
          </w:p>
          <w:p>
            <w:pPr>
              <w:widowControl/>
              <w:numPr>
                <w:ilvl w:val="0"/>
                <w:numId w:val="0"/>
              </w:numPr>
              <w:snapToGrid w:val="0"/>
              <w:spacing w:beforeLines="0" w:afterLines="0"/>
              <w:ind w:left="0" w:leftChars="0" w:firstLine="0" w:firstLineChars="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3.专业为篮球方向</w:t>
            </w:r>
            <w:r>
              <w:rPr>
                <w:rFonts w:hint="eastAsia" w:ascii="仿宋_GB2312" w:hAnsi="仿宋_GB2312" w:eastAsia="仿宋_GB2312" w:cs="仿宋_GB2312"/>
                <w:color w:val="000000"/>
                <w:kern w:val="0"/>
                <w:sz w:val="24"/>
                <w:szCs w:val="24"/>
                <w:lang w:eastAsia="zh-CN"/>
              </w:rPr>
              <w:t>。</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限高校毕业生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79" w:hRule="atLeast"/>
          <w:jc w:val="center"/>
        </w:trPr>
        <w:tc>
          <w:tcPr>
            <w:tcW w:w="1396"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高中体育</w:t>
            </w:r>
          </w:p>
        </w:tc>
        <w:tc>
          <w:tcPr>
            <w:tcW w:w="832"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A9</w:t>
            </w:r>
            <w:r>
              <w:rPr>
                <w:rFonts w:hint="eastAsia" w:ascii="仿宋_GB2312" w:hAnsi="仿宋_GB2312" w:eastAsia="仿宋_GB2312" w:cs="仿宋_GB2312"/>
                <w:kern w:val="0"/>
                <w:sz w:val="24"/>
                <w:szCs w:val="24"/>
              </w:rPr>
              <w:t>　</w:t>
            </w:r>
          </w:p>
        </w:tc>
        <w:tc>
          <w:tcPr>
            <w:tcW w:w="641" w:type="dxa"/>
            <w:vAlign w:val="center"/>
          </w:tcPr>
          <w:p>
            <w:pPr>
              <w:widowControl/>
              <w:snapToGrid w:val="0"/>
              <w:spacing w:beforeLines="0" w:afterLines="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600" w:type="dxa"/>
            <w:vAlign w:val="center"/>
          </w:tcPr>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不限</w:t>
            </w:r>
          </w:p>
        </w:tc>
        <w:tc>
          <w:tcPr>
            <w:tcW w:w="899"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周岁以下</w:t>
            </w:r>
          </w:p>
        </w:tc>
        <w:tc>
          <w:tcPr>
            <w:tcW w:w="1513"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重点高校</w:t>
            </w:r>
            <w:r>
              <w:rPr>
                <w:rFonts w:hint="eastAsia" w:ascii="仿宋_GB2312" w:hAnsi="仿宋_GB2312" w:eastAsia="仿宋_GB2312" w:cs="仿宋_GB2312"/>
                <w:kern w:val="0"/>
                <w:sz w:val="24"/>
                <w:szCs w:val="24"/>
                <w:lang w:eastAsia="zh-CN"/>
              </w:rPr>
              <w:t>或专业院校</w:t>
            </w:r>
            <w:r>
              <w:rPr>
                <w:rFonts w:hint="eastAsia" w:ascii="仿宋_GB2312" w:hAnsi="仿宋_GB2312" w:eastAsia="仿宋_GB2312" w:cs="仿宋_GB2312"/>
                <w:kern w:val="0"/>
                <w:sz w:val="24"/>
                <w:szCs w:val="24"/>
              </w:rPr>
              <w:t>本科学士</w:t>
            </w:r>
          </w:p>
        </w:tc>
        <w:tc>
          <w:tcPr>
            <w:tcW w:w="3111" w:type="dxa"/>
            <w:vAlign w:val="center"/>
          </w:tcPr>
          <w:p>
            <w:pPr>
              <w:widowControl/>
              <w:snapToGrid w:val="0"/>
              <w:spacing w:beforeLines="0" w:afterLine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本科：</w:t>
            </w:r>
            <w:r>
              <w:rPr>
                <w:rFonts w:hint="eastAsia" w:ascii="仿宋_GB2312" w:hAnsi="仿宋_GB2312" w:eastAsia="仿宋_GB2312" w:cs="仿宋_GB2312"/>
                <w:kern w:val="0"/>
                <w:sz w:val="24"/>
                <w:szCs w:val="24"/>
              </w:rPr>
              <w:t>体育</w:t>
            </w:r>
            <w:r>
              <w:rPr>
                <w:rFonts w:hint="eastAsia" w:ascii="仿宋_GB2312" w:hAnsi="仿宋_GB2312" w:eastAsia="仿宋_GB2312" w:cs="仿宋_GB2312"/>
                <w:kern w:val="0"/>
                <w:sz w:val="24"/>
                <w:szCs w:val="24"/>
                <w:lang w:eastAsia="zh-CN"/>
              </w:rPr>
              <w:t>教育、运动训练</w:t>
            </w:r>
          </w:p>
          <w:p>
            <w:pPr>
              <w:widowControl/>
              <w:snapToGrid w:val="0"/>
              <w:spacing w:beforeLines="0" w:afterLine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研究生：</w:t>
            </w:r>
            <w:r>
              <w:rPr>
                <w:rFonts w:hint="eastAsia" w:ascii="仿宋_GB2312" w:hAnsi="仿宋_GB2312" w:eastAsia="仿宋_GB2312" w:cs="仿宋_GB2312"/>
                <w:kern w:val="0"/>
                <w:sz w:val="24"/>
                <w:szCs w:val="24"/>
              </w:rPr>
              <w:t>体育</w:t>
            </w:r>
            <w:r>
              <w:rPr>
                <w:rFonts w:hint="eastAsia" w:ascii="仿宋_GB2312" w:hAnsi="仿宋_GB2312" w:eastAsia="仿宋_GB2312" w:cs="仿宋_GB2312"/>
                <w:kern w:val="0"/>
                <w:sz w:val="24"/>
                <w:szCs w:val="24"/>
                <w:lang w:eastAsia="zh-CN"/>
              </w:rPr>
              <w:t>学类</w:t>
            </w:r>
          </w:p>
        </w:tc>
        <w:tc>
          <w:tcPr>
            <w:tcW w:w="3785" w:type="dxa"/>
            <w:vAlign w:val="center"/>
          </w:tcPr>
          <w:p>
            <w:pPr>
              <w:widowControl/>
              <w:numPr>
                <w:ilvl w:val="0"/>
                <w:numId w:val="0"/>
              </w:numPr>
              <w:snapToGrid w:val="0"/>
              <w:spacing w:beforeLines="0" w:afterLines="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具有高中及以上相应学科教师资格证；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eastAsia="zh-CN"/>
              </w:rPr>
              <w:t>具有</w:t>
            </w:r>
            <w:r>
              <w:rPr>
                <w:rFonts w:hint="eastAsia" w:ascii="仿宋_GB2312" w:hAnsi="仿宋_GB2312" w:eastAsia="仿宋_GB2312" w:cs="仿宋_GB2312"/>
                <w:color w:val="000000"/>
                <w:kern w:val="0"/>
                <w:sz w:val="24"/>
                <w:szCs w:val="24"/>
              </w:rPr>
              <w:t>普通话二级乙等及以上</w:t>
            </w:r>
            <w:r>
              <w:rPr>
                <w:rFonts w:hint="eastAsia" w:ascii="仿宋_GB2312" w:hAnsi="仿宋_GB2312" w:eastAsia="仿宋_GB2312" w:cs="仿宋_GB2312"/>
                <w:color w:val="000000"/>
                <w:kern w:val="0"/>
                <w:sz w:val="24"/>
                <w:szCs w:val="24"/>
                <w:lang w:eastAsia="zh-CN"/>
              </w:rPr>
              <w:t>；</w:t>
            </w:r>
          </w:p>
          <w:p>
            <w:pPr>
              <w:widowControl/>
              <w:numPr>
                <w:ilvl w:val="0"/>
                <w:numId w:val="0"/>
              </w:numPr>
              <w:snapToGrid w:val="0"/>
              <w:spacing w:beforeLines="0" w:afterLines="0"/>
              <w:ind w:left="0" w:leftChars="0" w:firstLine="0" w:firstLineChars="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3.专业为篮球方向</w:t>
            </w:r>
            <w:r>
              <w:rPr>
                <w:rFonts w:hint="eastAsia" w:ascii="仿宋_GB2312" w:hAnsi="仿宋_GB2312" w:eastAsia="仿宋_GB2312" w:cs="仿宋_GB2312"/>
                <w:color w:val="000000"/>
                <w:kern w:val="0"/>
                <w:sz w:val="24"/>
                <w:szCs w:val="24"/>
                <w:lang w:eastAsia="zh-CN"/>
              </w:rPr>
              <w:t>。</w:t>
            </w:r>
          </w:p>
        </w:tc>
        <w:tc>
          <w:tcPr>
            <w:tcW w:w="989" w:type="dxa"/>
            <w:vAlign w:val="center"/>
          </w:tcPr>
          <w:p>
            <w:pPr>
              <w:widowControl/>
              <w:snapToGrid w:val="0"/>
              <w:spacing w:beforeLines="0" w:afterLines="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napToGrid w:val="0"/>
        <w:spacing w:beforeLines="0" w:afterLines="0"/>
        <w:ind w:firstLine="100" w:firstLineChars="500"/>
        <w:rPr>
          <w:rFonts w:ascii="仿宋_GB2312" w:eastAsia="仿宋_GB2312"/>
          <w:sz w:val="2"/>
          <w:szCs w:val="32"/>
        </w:rPr>
        <w:sectPr>
          <w:pgSz w:w="16838" w:h="11906" w:orient="landscape"/>
          <w:pgMar w:top="1701" w:right="1701" w:bottom="1701" w:left="1701" w:header="851" w:footer="1474" w:gutter="0"/>
          <w:pgNumType w:fmt="numberInDash"/>
          <w:cols w:space="425" w:num="1"/>
          <w:docGrid w:type="lines" w:linePitch="312" w:charSpace="0"/>
        </w:sectPr>
      </w:pPr>
    </w:p>
    <w:p>
      <w:pPr>
        <w:widowControl/>
        <w:snapToGrid w:val="0"/>
        <w:spacing w:beforeLines="0" w:afterLines="0"/>
        <w:rPr>
          <w:rFonts w:ascii="黑体" w:hAnsi="黑体" w:eastAsia="黑体" w:cs="宋体"/>
          <w:bCs/>
          <w:kern w:val="0"/>
          <w:sz w:val="32"/>
          <w:szCs w:val="32"/>
        </w:rPr>
      </w:pPr>
      <w:r>
        <w:rPr>
          <w:rFonts w:hint="eastAsia" w:ascii="黑体" w:hAnsi="黑体" w:eastAsia="黑体" w:cs="宋体"/>
          <w:bCs/>
          <w:kern w:val="0"/>
          <w:sz w:val="32"/>
          <w:szCs w:val="32"/>
        </w:rPr>
        <w:t>附件</w:t>
      </w:r>
      <w:r>
        <w:rPr>
          <w:rFonts w:ascii="黑体" w:hAnsi="黑体" w:eastAsia="黑体" w:cs="宋体"/>
          <w:bCs/>
          <w:kern w:val="0"/>
          <w:sz w:val="32"/>
          <w:szCs w:val="32"/>
        </w:rPr>
        <w:t>2</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rPr>
          <w:rFonts w:hint="eastAsia" w:ascii="方正小标宋简体" w:hAnsi="方正小标宋简体" w:eastAsia="方正小标宋简体" w:cs="方正小标宋简体"/>
          <w:b w:val="0"/>
          <w:bCs/>
          <w:w w:val="90"/>
          <w:sz w:val="38"/>
          <w:szCs w:val="38"/>
        </w:rPr>
      </w:pPr>
      <w:r>
        <w:rPr>
          <w:rFonts w:hint="eastAsia" w:ascii="方正小标宋简体" w:hAnsi="方正小标宋简体" w:eastAsia="方正小标宋简体" w:cs="方正小标宋简体"/>
          <w:b w:val="0"/>
          <w:bCs/>
          <w:w w:val="90"/>
          <w:sz w:val="38"/>
          <w:szCs w:val="38"/>
        </w:rPr>
        <w:t>2024年华容一中“四海揽才”招聘教师报名表</w:t>
      </w:r>
    </w:p>
    <w:tbl>
      <w:tblPr>
        <w:tblStyle w:val="6"/>
        <w:tblW w:w="9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214"/>
        <w:gridCol w:w="609"/>
        <w:gridCol w:w="195"/>
        <w:gridCol w:w="527"/>
        <w:gridCol w:w="153"/>
        <w:gridCol w:w="288"/>
        <w:gridCol w:w="165"/>
        <w:gridCol w:w="539"/>
        <w:gridCol w:w="146"/>
        <w:gridCol w:w="293"/>
        <w:gridCol w:w="294"/>
        <w:gridCol w:w="22"/>
        <w:gridCol w:w="272"/>
        <w:gridCol w:w="294"/>
        <w:gridCol w:w="14"/>
        <w:gridCol w:w="242"/>
        <w:gridCol w:w="12"/>
        <w:gridCol w:w="15"/>
        <w:gridCol w:w="10"/>
        <w:gridCol w:w="294"/>
        <w:gridCol w:w="294"/>
        <w:gridCol w:w="177"/>
        <w:gridCol w:w="117"/>
        <w:gridCol w:w="294"/>
        <w:gridCol w:w="293"/>
        <w:gridCol w:w="294"/>
        <w:gridCol w:w="235"/>
        <w:gridCol w:w="60"/>
        <w:gridCol w:w="294"/>
        <w:gridCol w:w="293"/>
        <w:gridCol w:w="294"/>
        <w:gridCol w:w="294"/>
        <w:gridCol w:w="294"/>
        <w:gridCol w:w="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姓名</w:t>
            </w:r>
          </w:p>
        </w:tc>
        <w:tc>
          <w:tcPr>
            <w:tcW w:w="1214" w:type="dxa"/>
            <w:vAlign w:val="center"/>
          </w:tcPr>
          <w:p>
            <w:pPr>
              <w:snapToGrid w:val="0"/>
              <w:spacing w:beforeLines="0" w:afterLines="0"/>
              <w:jc w:val="center"/>
              <w:rPr>
                <w:rFonts w:ascii="Times New Roman" w:hAnsi="Times New Roman"/>
                <w:kern w:val="2"/>
                <w:sz w:val="21"/>
                <w:szCs w:val="22"/>
              </w:rPr>
            </w:pPr>
          </w:p>
        </w:tc>
        <w:tc>
          <w:tcPr>
            <w:tcW w:w="804" w:type="dxa"/>
            <w:gridSpan w:val="2"/>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性别</w:t>
            </w:r>
          </w:p>
        </w:tc>
        <w:tc>
          <w:tcPr>
            <w:tcW w:w="680" w:type="dxa"/>
            <w:gridSpan w:val="2"/>
            <w:vAlign w:val="center"/>
          </w:tcPr>
          <w:p>
            <w:pPr>
              <w:snapToGrid w:val="0"/>
              <w:spacing w:beforeLines="0" w:afterLines="0"/>
              <w:jc w:val="center"/>
              <w:rPr>
                <w:rFonts w:ascii="Times New Roman" w:hAnsi="Times New Roman"/>
                <w:kern w:val="2"/>
                <w:sz w:val="21"/>
                <w:szCs w:val="22"/>
              </w:rPr>
            </w:pPr>
          </w:p>
        </w:tc>
        <w:tc>
          <w:tcPr>
            <w:tcW w:w="1138" w:type="dxa"/>
            <w:gridSpan w:val="4"/>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身份证号</w:t>
            </w:r>
          </w:p>
        </w:tc>
        <w:tc>
          <w:tcPr>
            <w:tcW w:w="293" w:type="dxa"/>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4" w:type="dxa"/>
            <w:gridSpan w:val="2"/>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3" w:type="dxa"/>
            <w:gridSpan w:val="5"/>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4" w:type="dxa"/>
            <w:gridSpan w:val="2"/>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3" w:type="dxa"/>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5" w:type="dxa"/>
            <w:gridSpan w:val="2"/>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3" w:type="dxa"/>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4" w:type="dxa"/>
            <w:vAlign w:val="center"/>
          </w:tcPr>
          <w:p>
            <w:pPr>
              <w:snapToGrid w:val="0"/>
              <w:spacing w:beforeLines="0" w:afterLines="0"/>
              <w:jc w:val="center"/>
              <w:rPr>
                <w:rFonts w:ascii="Times New Roman" w:hAnsi="Times New Roman"/>
                <w:kern w:val="2"/>
                <w:sz w:val="21"/>
                <w:szCs w:val="22"/>
              </w:rPr>
            </w:pPr>
          </w:p>
        </w:tc>
        <w:tc>
          <w:tcPr>
            <w:tcW w:w="297" w:type="dxa"/>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4" w:type="dxa"/>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籍贯</w:t>
            </w:r>
          </w:p>
        </w:tc>
        <w:tc>
          <w:tcPr>
            <w:tcW w:w="2986" w:type="dxa"/>
            <w:gridSpan w:val="6"/>
            <w:vAlign w:val="center"/>
          </w:tcPr>
          <w:p>
            <w:pPr>
              <w:snapToGrid w:val="0"/>
              <w:spacing w:beforeLines="0" w:afterLines="0"/>
              <w:jc w:val="center"/>
              <w:rPr>
                <w:rFonts w:ascii="Times New Roman" w:hAnsi="Times New Roman"/>
                <w:kern w:val="2"/>
                <w:sz w:val="21"/>
                <w:szCs w:val="22"/>
              </w:rPr>
            </w:pPr>
          </w:p>
        </w:tc>
        <w:tc>
          <w:tcPr>
            <w:tcW w:w="2039" w:type="dxa"/>
            <w:gridSpan w:val="9"/>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政治面貌</w:t>
            </w:r>
          </w:p>
        </w:tc>
        <w:tc>
          <w:tcPr>
            <w:tcW w:w="2277" w:type="dxa"/>
            <w:gridSpan w:val="12"/>
            <w:vAlign w:val="center"/>
          </w:tcPr>
          <w:p>
            <w:pPr>
              <w:snapToGrid w:val="0"/>
              <w:spacing w:beforeLines="0" w:afterLines="0"/>
              <w:jc w:val="center"/>
              <w:rPr>
                <w:rFonts w:ascii="Times New Roman" w:hAnsi="Times New Roman"/>
                <w:kern w:val="2"/>
                <w:sz w:val="21"/>
                <w:szCs w:val="22"/>
              </w:rPr>
            </w:pPr>
          </w:p>
        </w:tc>
        <w:tc>
          <w:tcPr>
            <w:tcW w:w="1826" w:type="dxa"/>
            <w:gridSpan w:val="7"/>
            <w:vMerge w:val="restart"/>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照片</w:t>
            </w:r>
            <w:r>
              <w:rPr>
                <w:rFonts w:ascii="Times New Roman" w:hAnsi="Times New Roman"/>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04" w:type="dxa"/>
            <w:vMerge w:val="restart"/>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学历</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学位</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情况</w:t>
            </w:r>
          </w:p>
        </w:tc>
        <w:tc>
          <w:tcPr>
            <w:tcW w:w="2545" w:type="dxa"/>
            <w:gridSpan w:val="4"/>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毕业院校</w:t>
            </w:r>
          </w:p>
        </w:tc>
        <w:tc>
          <w:tcPr>
            <w:tcW w:w="1900" w:type="dxa"/>
            <w:gridSpan w:val="8"/>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专业</w:t>
            </w:r>
          </w:p>
        </w:tc>
        <w:tc>
          <w:tcPr>
            <w:tcW w:w="834" w:type="dxa"/>
            <w:gridSpan w:val="5"/>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学历</w:t>
            </w:r>
          </w:p>
        </w:tc>
        <w:tc>
          <w:tcPr>
            <w:tcW w:w="790" w:type="dxa"/>
            <w:gridSpan w:val="5"/>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学位</w:t>
            </w:r>
          </w:p>
        </w:tc>
        <w:tc>
          <w:tcPr>
            <w:tcW w:w="1233" w:type="dxa"/>
            <w:gridSpan w:val="5"/>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毕业时间</w:t>
            </w:r>
          </w:p>
        </w:tc>
        <w:tc>
          <w:tcPr>
            <w:tcW w:w="1826" w:type="dxa"/>
            <w:gridSpan w:val="7"/>
            <w:vMerge w:val="continue"/>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804" w:type="dxa"/>
            <w:vMerge w:val="continue"/>
            <w:vAlign w:val="center"/>
          </w:tcPr>
          <w:p>
            <w:pPr>
              <w:snapToGrid w:val="0"/>
              <w:spacing w:beforeLines="0" w:afterLines="0"/>
              <w:jc w:val="center"/>
              <w:rPr>
                <w:rFonts w:ascii="Times New Roman" w:hAnsi="Times New Roman"/>
                <w:kern w:val="2"/>
                <w:sz w:val="21"/>
                <w:szCs w:val="22"/>
              </w:rPr>
            </w:pPr>
          </w:p>
        </w:tc>
        <w:tc>
          <w:tcPr>
            <w:tcW w:w="2545" w:type="dxa"/>
            <w:gridSpan w:val="4"/>
            <w:vAlign w:val="center"/>
          </w:tcPr>
          <w:p>
            <w:pPr>
              <w:snapToGrid w:val="0"/>
              <w:spacing w:beforeLines="0" w:afterLines="0"/>
              <w:jc w:val="center"/>
              <w:rPr>
                <w:rFonts w:ascii="Times New Roman" w:hAnsi="Times New Roman"/>
                <w:kern w:val="2"/>
                <w:sz w:val="21"/>
                <w:szCs w:val="22"/>
              </w:rPr>
            </w:pPr>
          </w:p>
        </w:tc>
        <w:tc>
          <w:tcPr>
            <w:tcW w:w="1900" w:type="dxa"/>
            <w:gridSpan w:val="8"/>
            <w:vAlign w:val="center"/>
          </w:tcPr>
          <w:p>
            <w:pPr>
              <w:snapToGrid w:val="0"/>
              <w:spacing w:beforeLines="0" w:afterLines="0"/>
              <w:jc w:val="center"/>
              <w:rPr>
                <w:rFonts w:ascii="Times New Roman" w:hAnsi="Times New Roman"/>
                <w:kern w:val="2"/>
                <w:sz w:val="21"/>
                <w:szCs w:val="22"/>
              </w:rPr>
            </w:pPr>
          </w:p>
        </w:tc>
        <w:tc>
          <w:tcPr>
            <w:tcW w:w="834" w:type="dxa"/>
            <w:gridSpan w:val="5"/>
            <w:vAlign w:val="center"/>
          </w:tcPr>
          <w:p>
            <w:pPr>
              <w:snapToGrid w:val="0"/>
              <w:spacing w:beforeLines="0" w:afterLines="0"/>
              <w:jc w:val="center"/>
              <w:rPr>
                <w:rFonts w:ascii="Times New Roman" w:hAnsi="Times New Roman"/>
                <w:kern w:val="2"/>
                <w:sz w:val="21"/>
                <w:szCs w:val="22"/>
              </w:rPr>
            </w:pPr>
          </w:p>
        </w:tc>
        <w:tc>
          <w:tcPr>
            <w:tcW w:w="790" w:type="dxa"/>
            <w:gridSpan w:val="5"/>
            <w:vAlign w:val="center"/>
          </w:tcPr>
          <w:p>
            <w:pPr>
              <w:snapToGrid w:val="0"/>
              <w:spacing w:beforeLines="0" w:afterLines="0"/>
              <w:jc w:val="center"/>
              <w:rPr>
                <w:rFonts w:ascii="Times New Roman" w:hAnsi="Times New Roman"/>
                <w:kern w:val="2"/>
                <w:sz w:val="21"/>
                <w:szCs w:val="22"/>
              </w:rPr>
            </w:pPr>
          </w:p>
        </w:tc>
        <w:tc>
          <w:tcPr>
            <w:tcW w:w="1233" w:type="dxa"/>
            <w:gridSpan w:val="5"/>
            <w:vAlign w:val="center"/>
          </w:tcPr>
          <w:p>
            <w:pPr>
              <w:snapToGrid w:val="0"/>
              <w:spacing w:beforeLines="0" w:afterLines="0"/>
              <w:jc w:val="center"/>
              <w:rPr>
                <w:rFonts w:ascii="Times New Roman" w:hAnsi="Times New Roman"/>
                <w:kern w:val="2"/>
                <w:sz w:val="21"/>
                <w:szCs w:val="22"/>
              </w:rPr>
            </w:pPr>
          </w:p>
        </w:tc>
        <w:tc>
          <w:tcPr>
            <w:tcW w:w="1826" w:type="dxa"/>
            <w:gridSpan w:val="7"/>
            <w:vMerge w:val="continue"/>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04" w:type="dxa"/>
            <w:vMerge w:val="continue"/>
            <w:vAlign w:val="center"/>
          </w:tcPr>
          <w:p>
            <w:pPr>
              <w:snapToGrid w:val="0"/>
              <w:spacing w:beforeLines="0" w:afterLines="0"/>
              <w:jc w:val="center"/>
              <w:rPr>
                <w:rFonts w:ascii="Times New Roman" w:hAnsi="Times New Roman"/>
                <w:kern w:val="2"/>
                <w:sz w:val="21"/>
                <w:szCs w:val="22"/>
              </w:rPr>
            </w:pPr>
          </w:p>
        </w:tc>
        <w:tc>
          <w:tcPr>
            <w:tcW w:w="2545" w:type="dxa"/>
            <w:gridSpan w:val="4"/>
            <w:vAlign w:val="center"/>
          </w:tcPr>
          <w:p>
            <w:pPr>
              <w:snapToGrid w:val="0"/>
              <w:spacing w:beforeLines="0" w:afterLines="0"/>
              <w:jc w:val="center"/>
              <w:rPr>
                <w:rFonts w:ascii="Times New Roman" w:hAnsi="Times New Roman"/>
                <w:kern w:val="2"/>
                <w:sz w:val="21"/>
                <w:szCs w:val="22"/>
              </w:rPr>
            </w:pPr>
          </w:p>
        </w:tc>
        <w:tc>
          <w:tcPr>
            <w:tcW w:w="1900" w:type="dxa"/>
            <w:gridSpan w:val="8"/>
            <w:vAlign w:val="center"/>
          </w:tcPr>
          <w:p>
            <w:pPr>
              <w:snapToGrid w:val="0"/>
              <w:spacing w:beforeLines="0" w:afterLines="0"/>
              <w:jc w:val="center"/>
              <w:rPr>
                <w:rFonts w:ascii="Times New Roman" w:hAnsi="Times New Roman"/>
                <w:kern w:val="2"/>
                <w:sz w:val="21"/>
                <w:szCs w:val="22"/>
              </w:rPr>
            </w:pPr>
          </w:p>
        </w:tc>
        <w:tc>
          <w:tcPr>
            <w:tcW w:w="834" w:type="dxa"/>
            <w:gridSpan w:val="5"/>
            <w:vAlign w:val="center"/>
          </w:tcPr>
          <w:p>
            <w:pPr>
              <w:snapToGrid w:val="0"/>
              <w:spacing w:beforeLines="0" w:afterLines="0"/>
              <w:jc w:val="center"/>
              <w:rPr>
                <w:rFonts w:ascii="Times New Roman" w:hAnsi="Times New Roman"/>
                <w:kern w:val="2"/>
                <w:sz w:val="21"/>
                <w:szCs w:val="22"/>
              </w:rPr>
            </w:pPr>
          </w:p>
        </w:tc>
        <w:tc>
          <w:tcPr>
            <w:tcW w:w="790" w:type="dxa"/>
            <w:gridSpan w:val="5"/>
            <w:vAlign w:val="center"/>
          </w:tcPr>
          <w:p>
            <w:pPr>
              <w:snapToGrid w:val="0"/>
              <w:spacing w:beforeLines="0" w:afterLines="0"/>
              <w:jc w:val="center"/>
              <w:rPr>
                <w:rFonts w:ascii="Times New Roman" w:hAnsi="Times New Roman"/>
                <w:kern w:val="2"/>
                <w:sz w:val="21"/>
                <w:szCs w:val="22"/>
              </w:rPr>
            </w:pPr>
          </w:p>
        </w:tc>
        <w:tc>
          <w:tcPr>
            <w:tcW w:w="1233" w:type="dxa"/>
            <w:gridSpan w:val="5"/>
            <w:vAlign w:val="center"/>
          </w:tcPr>
          <w:p>
            <w:pPr>
              <w:snapToGrid w:val="0"/>
              <w:spacing w:beforeLines="0" w:afterLines="0"/>
              <w:jc w:val="center"/>
              <w:rPr>
                <w:rFonts w:ascii="Times New Roman" w:hAnsi="Times New Roman"/>
                <w:kern w:val="2"/>
                <w:sz w:val="21"/>
                <w:szCs w:val="22"/>
              </w:rPr>
            </w:pPr>
          </w:p>
        </w:tc>
        <w:tc>
          <w:tcPr>
            <w:tcW w:w="1826" w:type="dxa"/>
            <w:gridSpan w:val="7"/>
            <w:vMerge w:val="continue"/>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Merge w:val="restart"/>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教师</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资格</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情况</w:t>
            </w:r>
          </w:p>
        </w:tc>
        <w:tc>
          <w:tcPr>
            <w:tcW w:w="9128" w:type="dxa"/>
            <w:gridSpan w:val="34"/>
            <w:vAlign w:val="center"/>
          </w:tcPr>
          <w:p>
            <w:pPr>
              <w:snapToGrid w:val="0"/>
              <w:spacing w:beforeLines="0" w:afterLines="0"/>
              <w:ind w:firstLine="420" w:firstLineChars="200"/>
              <w:jc w:val="center"/>
              <w:rPr>
                <w:rFonts w:ascii="Times New Roman" w:hAnsi="Times New Roman"/>
                <w:kern w:val="2"/>
                <w:sz w:val="21"/>
                <w:szCs w:val="22"/>
              </w:rPr>
            </w:pPr>
            <w:r>
              <w:rPr>
                <w:rFonts w:hint="eastAsia" w:ascii="Times New Roman" w:hAnsi="Times New Roman"/>
                <w:kern w:val="2"/>
                <w:sz w:val="21"/>
                <w:szCs w:val="22"/>
              </w:rPr>
              <w:t>□已经获得证书</w:t>
            </w:r>
            <w:r>
              <w:rPr>
                <w:rFonts w:ascii="Times New Roman" w:hAnsi="Times New Roman"/>
                <w:kern w:val="2"/>
                <w:sz w:val="21"/>
                <w:szCs w:val="22"/>
              </w:rPr>
              <w:t xml:space="preserve">         </w:t>
            </w:r>
            <w:r>
              <w:rPr>
                <w:rFonts w:hint="eastAsia" w:ascii="Times New Roman" w:hAnsi="Times New Roman"/>
                <w:kern w:val="2"/>
                <w:sz w:val="21"/>
                <w:szCs w:val="22"/>
              </w:rPr>
              <w:t>□</w:t>
            </w:r>
            <w:r>
              <w:rPr>
                <w:rFonts w:hint="eastAsia" w:ascii="Times New Roman" w:hAnsi="Times New Roman"/>
                <w:kern w:val="2"/>
                <w:sz w:val="21"/>
                <w:szCs w:val="22"/>
                <w:lang w:eastAsia="zh-CN"/>
              </w:rPr>
              <w:t>考试合格，正在申请中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Merge w:val="continue"/>
            <w:vAlign w:val="center"/>
          </w:tcPr>
          <w:p>
            <w:pPr>
              <w:snapToGrid w:val="0"/>
              <w:spacing w:beforeLines="0" w:afterLines="0"/>
              <w:jc w:val="center"/>
              <w:rPr>
                <w:rFonts w:ascii="Times New Roman" w:hAnsi="Times New Roman"/>
                <w:kern w:val="2"/>
                <w:sz w:val="21"/>
                <w:szCs w:val="22"/>
              </w:rPr>
            </w:pPr>
          </w:p>
        </w:tc>
        <w:tc>
          <w:tcPr>
            <w:tcW w:w="2545" w:type="dxa"/>
            <w:gridSpan w:val="4"/>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已获得或申请认定</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教师资格学段</w:t>
            </w:r>
          </w:p>
        </w:tc>
        <w:tc>
          <w:tcPr>
            <w:tcW w:w="2734" w:type="dxa"/>
            <w:gridSpan w:val="13"/>
            <w:vAlign w:val="center"/>
          </w:tcPr>
          <w:p>
            <w:pPr>
              <w:snapToGrid w:val="0"/>
              <w:spacing w:beforeLines="0" w:afterLines="0"/>
              <w:jc w:val="center"/>
              <w:rPr>
                <w:rFonts w:ascii="Times New Roman" w:hAnsi="Times New Roman"/>
                <w:kern w:val="2"/>
                <w:sz w:val="21"/>
                <w:szCs w:val="22"/>
              </w:rPr>
            </w:pPr>
          </w:p>
        </w:tc>
        <w:tc>
          <w:tcPr>
            <w:tcW w:w="2023" w:type="dxa"/>
            <w:gridSpan w:val="10"/>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已获得或申请认定教师资格学科</w:t>
            </w:r>
          </w:p>
        </w:tc>
        <w:tc>
          <w:tcPr>
            <w:tcW w:w="1826" w:type="dxa"/>
            <w:gridSpan w:val="7"/>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家庭</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地址</w:t>
            </w:r>
          </w:p>
        </w:tc>
        <w:tc>
          <w:tcPr>
            <w:tcW w:w="6069" w:type="dxa"/>
            <w:gridSpan w:val="22"/>
            <w:vAlign w:val="center"/>
          </w:tcPr>
          <w:p>
            <w:pPr>
              <w:snapToGrid w:val="0"/>
              <w:spacing w:beforeLines="0" w:afterLines="0"/>
              <w:jc w:val="center"/>
              <w:rPr>
                <w:rFonts w:ascii="Times New Roman" w:hAnsi="Times New Roman"/>
                <w:kern w:val="2"/>
                <w:sz w:val="21"/>
                <w:szCs w:val="22"/>
              </w:rPr>
            </w:pPr>
          </w:p>
        </w:tc>
        <w:tc>
          <w:tcPr>
            <w:tcW w:w="1233" w:type="dxa"/>
            <w:gridSpan w:val="5"/>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联系电话</w:t>
            </w:r>
          </w:p>
        </w:tc>
        <w:tc>
          <w:tcPr>
            <w:tcW w:w="1826" w:type="dxa"/>
            <w:gridSpan w:val="7"/>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岗位</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代码</w:t>
            </w:r>
          </w:p>
        </w:tc>
        <w:tc>
          <w:tcPr>
            <w:tcW w:w="3151" w:type="dxa"/>
            <w:gridSpan w:val="7"/>
            <w:vAlign w:val="center"/>
          </w:tcPr>
          <w:p>
            <w:pPr>
              <w:snapToGrid w:val="0"/>
              <w:spacing w:beforeLines="0" w:afterLines="0"/>
              <w:jc w:val="center"/>
              <w:rPr>
                <w:rFonts w:ascii="Times New Roman" w:hAnsi="Times New Roman"/>
                <w:kern w:val="2"/>
                <w:sz w:val="21"/>
                <w:szCs w:val="22"/>
              </w:rPr>
            </w:pPr>
          </w:p>
        </w:tc>
        <w:tc>
          <w:tcPr>
            <w:tcW w:w="2143" w:type="dxa"/>
            <w:gridSpan w:val="11"/>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报考学科</w:t>
            </w:r>
          </w:p>
        </w:tc>
        <w:tc>
          <w:tcPr>
            <w:tcW w:w="3834" w:type="dxa"/>
            <w:gridSpan w:val="16"/>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4" w:type="dxa"/>
            <w:vMerge w:val="restart"/>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家庭</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主要</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成员</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情况</w:t>
            </w:r>
          </w:p>
        </w:tc>
        <w:tc>
          <w:tcPr>
            <w:tcW w:w="1823" w:type="dxa"/>
            <w:gridSpan w:val="2"/>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称谓</w:t>
            </w:r>
          </w:p>
        </w:tc>
        <w:tc>
          <w:tcPr>
            <w:tcW w:w="1867" w:type="dxa"/>
            <w:gridSpan w:val="6"/>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姓名</w:t>
            </w:r>
          </w:p>
        </w:tc>
        <w:tc>
          <w:tcPr>
            <w:tcW w:w="5438" w:type="dxa"/>
            <w:gridSpan w:val="26"/>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4" w:type="dxa"/>
            <w:vMerge w:val="continue"/>
            <w:vAlign w:val="center"/>
          </w:tcPr>
          <w:p>
            <w:pPr>
              <w:snapToGrid w:val="0"/>
              <w:spacing w:beforeLines="0" w:afterLines="0"/>
              <w:jc w:val="center"/>
              <w:rPr>
                <w:rFonts w:ascii="Times New Roman" w:hAnsi="Times New Roman"/>
                <w:kern w:val="2"/>
                <w:sz w:val="21"/>
                <w:szCs w:val="22"/>
              </w:rPr>
            </w:pPr>
          </w:p>
        </w:tc>
        <w:tc>
          <w:tcPr>
            <w:tcW w:w="1823" w:type="dxa"/>
            <w:gridSpan w:val="2"/>
            <w:vAlign w:val="center"/>
          </w:tcPr>
          <w:p>
            <w:pPr>
              <w:snapToGrid w:val="0"/>
              <w:spacing w:beforeLines="0" w:afterLines="0"/>
              <w:jc w:val="center"/>
              <w:rPr>
                <w:rFonts w:ascii="Times New Roman" w:hAnsi="Times New Roman"/>
                <w:kern w:val="2"/>
                <w:sz w:val="21"/>
                <w:szCs w:val="22"/>
              </w:rPr>
            </w:pPr>
          </w:p>
        </w:tc>
        <w:tc>
          <w:tcPr>
            <w:tcW w:w="1867" w:type="dxa"/>
            <w:gridSpan w:val="6"/>
            <w:vAlign w:val="center"/>
          </w:tcPr>
          <w:p>
            <w:pPr>
              <w:snapToGrid w:val="0"/>
              <w:spacing w:beforeLines="0" w:afterLines="0"/>
              <w:jc w:val="center"/>
              <w:rPr>
                <w:rFonts w:ascii="Times New Roman" w:hAnsi="Times New Roman"/>
                <w:kern w:val="2"/>
                <w:sz w:val="21"/>
                <w:szCs w:val="22"/>
              </w:rPr>
            </w:pPr>
          </w:p>
        </w:tc>
        <w:tc>
          <w:tcPr>
            <w:tcW w:w="5438" w:type="dxa"/>
            <w:gridSpan w:val="26"/>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4" w:type="dxa"/>
            <w:vMerge w:val="continue"/>
            <w:vAlign w:val="center"/>
          </w:tcPr>
          <w:p>
            <w:pPr>
              <w:snapToGrid w:val="0"/>
              <w:spacing w:beforeLines="0" w:afterLines="0"/>
              <w:jc w:val="center"/>
              <w:rPr>
                <w:rFonts w:ascii="Times New Roman" w:hAnsi="Times New Roman"/>
                <w:kern w:val="2"/>
                <w:sz w:val="21"/>
                <w:szCs w:val="22"/>
              </w:rPr>
            </w:pPr>
          </w:p>
        </w:tc>
        <w:tc>
          <w:tcPr>
            <w:tcW w:w="1823" w:type="dxa"/>
            <w:gridSpan w:val="2"/>
            <w:vAlign w:val="center"/>
          </w:tcPr>
          <w:p>
            <w:pPr>
              <w:snapToGrid w:val="0"/>
              <w:spacing w:beforeLines="0" w:afterLines="0"/>
              <w:jc w:val="center"/>
              <w:rPr>
                <w:rFonts w:ascii="Times New Roman" w:hAnsi="Times New Roman"/>
                <w:kern w:val="2"/>
                <w:sz w:val="21"/>
                <w:szCs w:val="22"/>
              </w:rPr>
            </w:pPr>
          </w:p>
        </w:tc>
        <w:tc>
          <w:tcPr>
            <w:tcW w:w="1867" w:type="dxa"/>
            <w:gridSpan w:val="6"/>
            <w:vAlign w:val="center"/>
          </w:tcPr>
          <w:p>
            <w:pPr>
              <w:snapToGrid w:val="0"/>
              <w:spacing w:beforeLines="0" w:afterLines="0"/>
              <w:jc w:val="center"/>
              <w:rPr>
                <w:rFonts w:ascii="Times New Roman" w:hAnsi="Times New Roman"/>
                <w:kern w:val="2"/>
                <w:sz w:val="21"/>
                <w:szCs w:val="22"/>
              </w:rPr>
            </w:pPr>
          </w:p>
        </w:tc>
        <w:tc>
          <w:tcPr>
            <w:tcW w:w="5438" w:type="dxa"/>
            <w:gridSpan w:val="26"/>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4" w:type="dxa"/>
            <w:vMerge w:val="continue"/>
            <w:vAlign w:val="center"/>
          </w:tcPr>
          <w:p>
            <w:pPr>
              <w:snapToGrid w:val="0"/>
              <w:spacing w:beforeLines="0" w:afterLines="0"/>
              <w:jc w:val="center"/>
              <w:rPr>
                <w:rFonts w:ascii="Times New Roman" w:hAnsi="Times New Roman"/>
                <w:kern w:val="2"/>
                <w:sz w:val="21"/>
                <w:szCs w:val="22"/>
              </w:rPr>
            </w:pPr>
          </w:p>
        </w:tc>
        <w:tc>
          <w:tcPr>
            <w:tcW w:w="1823" w:type="dxa"/>
            <w:gridSpan w:val="2"/>
            <w:vAlign w:val="center"/>
          </w:tcPr>
          <w:p>
            <w:pPr>
              <w:snapToGrid w:val="0"/>
              <w:spacing w:beforeLines="0" w:afterLines="0"/>
              <w:jc w:val="center"/>
              <w:rPr>
                <w:rFonts w:ascii="Times New Roman" w:hAnsi="Times New Roman"/>
                <w:kern w:val="2"/>
                <w:sz w:val="21"/>
                <w:szCs w:val="22"/>
              </w:rPr>
            </w:pPr>
          </w:p>
        </w:tc>
        <w:tc>
          <w:tcPr>
            <w:tcW w:w="1867" w:type="dxa"/>
            <w:gridSpan w:val="6"/>
            <w:vAlign w:val="center"/>
          </w:tcPr>
          <w:p>
            <w:pPr>
              <w:snapToGrid w:val="0"/>
              <w:spacing w:beforeLines="0" w:afterLines="0"/>
              <w:jc w:val="center"/>
              <w:rPr>
                <w:rFonts w:ascii="Times New Roman" w:hAnsi="Times New Roman"/>
                <w:kern w:val="2"/>
                <w:sz w:val="21"/>
                <w:szCs w:val="22"/>
              </w:rPr>
            </w:pPr>
          </w:p>
        </w:tc>
        <w:tc>
          <w:tcPr>
            <w:tcW w:w="5438" w:type="dxa"/>
            <w:gridSpan w:val="26"/>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804" w:type="dxa"/>
            <w:vAlign w:val="center"/>
          </w:tcPr>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个人</w:t>
            </w:r>
          </w:p>
          <w:p>
            <w:pPr>
              <w:snapToGrid w:val="0"/>
              <w:spacing w:beforeLines="0" w:afterLines="0"/>
              <w:jc w:val="center"/>
              <w:rPr>
                <w:rFonts w:ascii="Times New Roman" w:hAnsi="Times New Roman"/>
                <w:kern w:val="2"/>
                <w:sz w:val="21"/>
                <w:szCs w:val="22"/>
              </w:rPr>
            </w:pPr>
            <w:r>
              <w:rPr>
                <w:rFonts w:hint="eastAsia" w:ascii="Times New Roman" w:hAnsi="Times New Roman"/>
                <w:kern w:val="2"/>
                <w:sz w:val="21"/>
                <w:szCs w:val="22"/>
              </w:rPr>
              <w:t>简历</w:t>
            </w:r>
          </w:p>
          <w:p>
            <w:pPr>
              <w:snapToGrid w:val="0"/>
              <w:spacing w:beforeLines="0" w:afterLines="0"/>
              <w:jc w:val="center"/>
              <w:rPr>
                <w:rFonts w:ascii="Times New Roman" w:hAnsi="Times New Roman"/>
                <w:kern w:val="2"/>
                <w:sz w:val="21"/>
                <w:szCs w:val="22"/>
              </w:rPr>
            </w:pPr>
            <w:r>
              <w:rPr>
                <w:rFonts w:ascii="Times New Roman" w:hAnsi="Times New Roman"/>
                <w:kern w:val="2"/>
                <w:sz w:val="21"/>
                <w:szCs w:val="22"/>
              </w:rPr>
              <w:t>(</w:t>
            </w:r>
            <w:r>
              <w:rPr>
                <w:rFonts w:hint="eastAsia" w:ascii="Times New Roman" w:hAnsi="Times New Roman"/>
                <w:kern w:val="2"/>
                <w:sz w:val="21"/>
                <w:szCs w:val="22"/>
              </w:rPr>
              <w:t>自高中起</w:t>
            </w:r>
            <w:r>
              <w:rPr>
                <w:rFonts w:ascii="Times New Roman" w:hAnsi="Times New Roman"/>
                <w:kern w:val="2"/>
                <w:sz w:val="21"/>
                <w:szCs w:val="22"/>
              </w:rPr>
              <w:t>)</w:t>
            </w:r>
          </w:p>
        </w:tc>
        <w:tc>
          <w:tcPr>
            <w:tcW w:w="9128" w:type="dxa"/>
            <w:gridSpan w:val="34"/>
            <w:vAlign w:val="center"/>
          </w:tcPr>
          <w:p>
            <w:pPr>
              <w:snapToGrid w:val="0"/>
              <w:spacing w:beforeLines="0" w:afterLines="0"/>
              <w:jc w:val="center"/>
              <w:rPr>
                <w:rFonts w:ascii="Times New Roman" w:hAnsi="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3" w:hRule="atLeast"/>
          <w:jc w:val="center"/>
        </w:trPr>
        <w:tc>
          <w:tcPr>
            <w:tcW w:w="804" w:type="dxa"/>
            <w:vAlign w:val="center"/>
          </w:tcPr>
          <w:p>
            <w:pPr>
              <w:snapToGrid w:val="0"/>
              <w:spacing w:beforeLines="0" w:afterLines="0"/>
              <w:jc w:val="center"/>
              <w:rPr>
                <w:rFonts w:ascii="Times New Roman" w:hAnsi="Times New Roman"/>
                <w:kern w:val="2"/>
                <w:sz w:val="21"/>
                <w:szCs w:val="22"/>
              </w:rPr>
            </w:pPr>
            <w:r>
              <w:rPr>
                <w:color w:val="000000"/>
              </w:rPr>
              <w:t>应聘人员承诺</w:t>
            </w:r>
          </w:p>
        </w:tc>
        <w:tc>
          <w:tcPr>
            <w:tcW w:w="4423" w:type="dxa"/>
            <w:gridSpan w:val="11"/>
            <w:vAlign w:val="center"/>
          </w:tcPr>
          <w:p>
            <w:pPr>
              <w:adjustRightInd w:val="0"/>
              <w:snapToGrid w:val="0"/>
              <w:ind w:firstLine="420" w:firstLineChars="200"/>
              <w:rPr>
                <w:color w:val="000000"/>
              </w:rPr>
            </w:pPr>
            <w:r>
              <w:rPr>
                <w:color w:val="000000"/>
              </w:rPr>
              <w:t>本人承诺所提供的材料真实有效，符合应聘所需的资格条件。如有弄虚作假，</w:t>
            </w:r>
            <w:r>
              <w:rPr>
                <w:rFonts w:hint="eastAsia"/>
                <w:color w:val="000000"/>
              </w:rPr>
              <w:t>所产生的一切后果由本人承担</w:t>
            </w:r>
            <w:r>
              <w:rPr>
                <w:color w:val="000000"/>
              </w:rPr>
              <w:t>。</w:t>
            </w:r>
          </w:p>
          <w:p>
            <w:pPr>
              <w:adjustRightInd w:val="0"/>
              <w:snapToGrid w:val="0"/>
              <w:ind w:firstLine="420" w:firstLineChars="200"/>
              <w:rPr>
                <w:color w:val="000000"/>
              </w:rPr>
            </w:pPr>
          </w:p>
          <w:p>
            <w:pPr>
              <w:adjustRightInd w:val="0"/>
              <w:snapToGrid w:val="0"/>
              <w:ind w:firstLine="735" w:firstLineChars="350"/>
              <w:rPr>
                <w:rFonts w:hint="eastAsia"/>
                <w:color w:val="000000"/>
              </w:rPr>
            </w:pPr>
            <w:r>
              <w:rPr>
                <w:color w:val="000000"/>
              </w:rPr>
              <w:t>应聘人签名：</w:t>
            </w:r>
          </w:p>
          <w:p>
            <w:pPr>
              <w:adjustRightInd w:val="0"/>
              <w:snapToGrid w:val="0"/>
              <w:ind w:firstLine="1575" w:firstLineChars="750"/>
              <w:rPr>
                <w:rFonts w:ascii="Times New Roman" w:hAnsi="Times New Roman"/>
                <w:kern w:val="2"/>
                <w:sz w:val="21"/>
                <w:szCs w:val="22"/>
              </w:rPr>
            </w:pPr>
            <w:r>
              <w:rPr>
                <w:color w:val="000000"/>
              </w:rPr>
              <w:t>年   月   日</w:t>
            </w:r>
          </w:p>
        </w:tc>
        <w:tc>
          <w:tcPr>
            <w:tcW w:w="844" w:type="dxa"/>
            <w:gridSpan w:val="5"/>
            <w:vAlign w:val="center"/>
          </w:tcPr>
          <w:p>
            <w:pPr>
              <w:adjustRightInd w:val="0"/>
              <w:snapToGrid w:val="0"/>
              <w:jc w:val="center"/>
              <w:rPr>
                <w:rFonts w:ascii="Times New Roman" w:hAnsi="Times New Roman"/>
                <w:kern w:val="2"/>
                <w:sz w:val="21"/>
                <w:szCs w:val="22"/>
              </w:rPr>
            </w:pPr>
            <w:r>
              <w:rPr>
                <w:color w:val="000000"/>
              </w:rPr>
              <w:t>资格审查意见</w:t>
            </w:r>
          </w:p>
        </w:tc>
        <w:tc>
          <w:tcPr>
            <w:tcW w:w="3861" w:type="dxa"/>
            <w:gridSpan w:val="18"/>
            <w:vAlign w:val="center"/>
          </w:tcPr>
          <w:p>
            <w:pPr>
              <w:adjustRightInd w:val="0"/>
              <w:snapToGrid w:val="0"/>
              <w:ind w:firstLine="420" w:firstLineChars="200"/>
              <w:rPr>
                <w:color w:val="000000"/>
              </w:rPr>
            </w:pPr>
          </w:p>
          <w:p>
            <w:pPr>
              <w:adjustRightInd w:val="0"/>
              <w:snapToGrid w:val="0"/>
              <w:ind w:firstLine="420" w:firstLineChars="200"/>
              <w:rPr>
                <w:color w:val="000000"/>
              </w:rPr>
            </w:pPr>
            <w:r>
              <w:rPr>
                <w:color w:val="000000"/>
              </w:rPr>
              <w:t>经审查，符合应聘资格条件。</w:t>
            </w:r>
          </w:p>
          <w:p>
            <w:pPr>
              <w:adjustRightInd w:val="0"/>
              <w:snapToGrid w:val="0"/>
              <w:ind w:firstLine="420" w:firstLineChars="200"/>
              <w:rPr>
                <w:color w:val="000000"/>
              </w:rPr>
            </w:pPr>
          </w:p>
          <w:p>
            <w:pPr>
              <w:adjustRightInd w:val="0"/>
              <w:snapToGrid w:val="0"/>
              <w:ind w:firstLine="420" w:firstLineChars="200"/>
              <w:rPr>
                <w:color w:val="000000"/>
              </w:rPr>
            </w:pPr>
          </w:p>
          <w:p>
            <w:pPr>
              <w:adjustRightInd w:val="0"/>
              <w:snapToGrid w:val="0"/>
              <w:ind w:firstLine="840" w:firstLineChars="400"/>
              <w:rPr>
                <w:rFonts w:hint="eastAsia"/>
                <w:color w:val="000000"/>
              </w:rPr>
            </w:pPr>
            <w:r>
              <w:rPr>
                <w:color w:val="000000"/>
              </w:rPr>
              <w:t>审查人签名：</w:t>
            </w:r>
          </w:p>
          <w:p>
            <w:pPr>
              <w:adjustRightInd w:val="0"/>
              <w:snapToGrid w:val="0"/>
              <w:ind w:firstLine="1680" w:firstLineChars="800"/>
              <w:rPr>
                <w:rFonts w:ascii="Times New Roman" w:hAnsi="Times New Roman"/>
                <w:kern w:val="2"/>
                <w:sz w:val="21"/>
                <w:szCs w:val="22"/>
              </w:rPr>
            </w:pPr>
            <w:r>
              <w:rPr>
                <w:color w:val="000000"/>
              </w:rPr>
              <w:t>年   月   日</w:t>
            </w:r>
          </w:p>
        </w:tc>
      </w:tr>
    </w:tbl>
    <w:p>
      <w:pPr>
        <w:snapToGrid w:val="0"/>
        <w:spacing w:beforeLines="0" w:afterLines="0" w:line="360" w:lineRule="auto"/>
        <w:rPr>
          <w:rFonts w:ascii="仿宋_GB2312" w:eastAsia="仿宋_GB2312"/>
          <w:sz w:val="2"/>
          <w:szCs w:val="32"/>
        </w:rPr>
      </w:pPr>
    </w:p>
    <w:sectPr>
      <w:headerReference r:id="rId11" w:type="first"/>
      <w:footerReference r:id="rId14" w:type="first"/>
      <w:headerReference r:id="rId9" w:type="default"/>
      <w:footerReference r:id="rId12" w:type="default"/>
      <w:headerReference r:id="rId10" w:type="even"/>
      <w:footerReference r:id="rId13" w:type="even"/>
      <w:pgSz w:w="11906" w:h="16838"/>
      <w:pgMar w:top="1701" w:right="1701" w:bottom="1701" w:left="170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beforeLines="0" w:afterLine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beforeLines="0" w:afterLine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jc w:val="center"/>
      <w:rPr>
        <w:rFonts w:asci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beforeLines="0" w:afterLine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beforeLines="0" w:afterLine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120"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M2JjZDZkZWU0YmNmYTNkYjk4NTExNDQxNDA5MjQifQ=="/>
    <w:docVar w:name="KSO_WPS_MARK_KEY" w:val="1d95e54b-c01f-4892-8dd7-64e5c254b7cd"/>
  </w:docVars>
  <w:rsids>
    <w:rsidRoot w:val="00AB01E8"/>
    <w:rsid w:val="000942C1"/>
    <w:rsid w:val="000A6812"/>
    <w:rsid w:val="000D7D3C"/>
    <w:rsid w:val="001F5A06"/>
    <w:rsid w:val="00285EE6"/>
    <w:rsid w:val="002862E1"/>
    <w:rsid w:val="00324D0D"/>
    <w:rsid w:val="00450F1B"/>
    <w:rsid w:val="00493F84"/>
    <w:rsid w:val="004E532E"/>
    <w:rsid w:val="00562A35"/>
    <w:rsid w:val="005F5D49"/>
    <w:rsid w:val="00701800"/>
    <w:rsid w:val="007728C7"/>
    <w:rsid w:val="00777DFF"/>
    <w:rsid w:val="007B43FB"/>
    <w:rsid w:val="00907FC6"/>
    <w:rsid w:val="00922E47"/>
    <w:rsid w:val="009D7A4E"/>
    <w:rsid w:val="00AB01E8"/>
    <w:rsid w:val="00C043D6"/>
    <w:rsid w:val="00C937D0"/>
    <w:rsid w:val="00D023C5"/>
    <w:rsid w:val="00D11774"/>
    <w:rsid w:val="00D73D02"/>
    <w:rsid w:val="00DE0BE3"/>
    <w:rsid w:val="00F428A0"/>
    <w:rsid w:val="00F530DA"/>
    <w:rsid w:val="06272A09"/>
    <w:rsid w:val="08ED47ED"/>
    <w:rsid w:val="0ADD4E97"/>
    <w:rsid w:val="0B82408F"/>
    <w:rsid w:val="11335637"/>
    <w:rsid w:val="1393060F"/>
    <w:rsid w:val="13D54A37"/>
    <w:rsid w:val="17BE135D"/>
    <w:rsid w:val="18F02060"/>
    <w:rsid w:val="1AB71087"/>
    <w:rsid w:val="1CC40A15"/>
    <w:rsid w:val="1DB5400E"/>
    <w:rsid w:val="21F961A7"/>
    <w:rsid w:val="2A5C1558"/>
    <w:rsid w:val="2B126C13"/>
    <w:rsid w:val="2C684D55"/>
    <w:rsid w:val="32382551"/>
    <w:rsid w:val="3E72648B"/>
    <w:rsid w:val="3EA75085"/>
    <w:rsid w:val="472E01EB"/>
    <w:rsid w:val="49EF5FC6"/>
    <w:rsid w:val="4A174DEF"/>
    <w:rsid w:val="508469B8"/>
    <w:rsid w:val="51851008"/>
    <w:rsid w:val="51AB385F"/>
    <w:rsid w:val="53AF6812"/>
    <w:rsid w:val="5EC45E27"/>
    <w:rsid w:val="5EE64787"/>
    <w:rsid w:val="5F41777C"/>
    <w:rsid w:val="61102014"/>
    <w:rsid w:val="6508240F"/>
    <w:rsid w:val="68466E88"/>
    <w:rsid w:val="696A46A5"/>
    <w:rsid w:val="6B6A3DF7"/>
    <w:rsid w:val="6E9803CE"/>
    <w:rsid w:val="6FB823A3"/>
    <w:rsid w:val="77CB5E7B"/>
    <w:rsid w:val="7FA453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Header Char"/>
    <w:basedOn w:val="4"/>
    <w:link w:val="3"/>
    <w:semiHidden/>
    <w:qFormat/>
    <w:locked/>
    <w:uiPriority w:val="99"/>
    <w:rPr>
      <w:rFonts w:cs="Times New Roman"/>
      <w:sz w:val="18"/>
      <w:szCs w:val="18"/>
    </w:rPr>
  </w:style>
  <w:style w:type="character" w:customStyle="1" w:styleId="8">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4834</Words>
  <Characters>5081</Characters>
  <Lines>0</Lines>
  <Paragraphs>0</Paragraphs>
  <TotalTime>26</TotalTime>
  <ScaleCrop>false</ScaleCrop>
  <LinksUpToDate>false</LinksUpToDate>
  <CharactersWithSpaces>5183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2024-03-26T03:08:00Z</dcterms:created>
  <dc:creator>微软用户</dc:creator>
  <cp:lastModifiedBy>Administrator</cp:lastModifiedBy>
  <cp:lastPrinted>2024-04-11T09:13:00Z</cp:lastPrinted>
  <dcterms:modified xsi:type="dcterms:W3CDTF">2024-04-11T13:08:38Z</dcterms:modified>
  <dc:title>华容县2024年教育体育局高校毕业生校园专项招聘工作方案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95DEE0AC2EFF4735B999D1C0A997D29C</vt:lpwstr>
  </property>
</Properties>
</file>