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63EF">
      <w:pPr>
        <w:spacing w:line="54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14:paraId="292D8124">
      <w:pPr>
        <w:spacing w:line="540" w:lineRule="exact"/>
        <w:ind w:firstLine="640" w:firstLineChars="200"/>
        <w:rPr>
          <w:rFonts w:ascii="仿宋" w:hAnsi="仿宋" w:eastAsia="仿宋"/>
          <w:sz w:val="32"/>
          <w:szCs w:val="32"/>
        </w:rPr>
      </w:pPr>
    </w:p>
    <w:p w14:paraId="118A4BC2">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报考指南</w:t>
      </w:r>
    </w:p>
    <w:p w14:paraId="763980F5">
      <w:pPr>
        <w:spacing w:line="540" w:lineRule="exact"/>
        <w:ind w:firstLine="640" w:firstLineChars="200"/>
        <w:rPr>
          <w:rFonts w:ascii="仿宋" w:hAnsi="仿宋" w:eastAsia="仿宋"/>
          <w:sz w:val="32"/>
          <w:szCs w:val="32"/>
        </w:rPr>
      </w:pPr>
    </w:p>
    <w:p w14:paraId="07B56CE7">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w:t>
      </w:r>
      <w:r>
        <w:rPr>
          <w:rFonts w:hint="eastAsia" w:ascii="Times New Roman" w:hAnsi="Times New Roman" w:eastAsia="黑体" w:cs="Times New Roman"/>
          <w:b w:val="0"/>
          <w:bCs/>
          <w:color w:val="auto"/>
          <w:kern w:val="0"/>
          <w:sz w:val="32"/>
          <w:szCs w:val="32"/>
          <w:highlight w:val="none"/>
          <w:u w:val="none"/>
          <w:lang w:val="en-US" w:eastAsia="zh-CN" w:bidi="ar-SA"/>
        </w:rPr>
        <w:t>报考资格条件</w:t>
      </w:r>
    </w:p>
    <w:p w14:paraId="2CCACB0D">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14:paraId="680A3A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仿宋" w:hAnsi="仿宋" w:eastAsia="仿宋"/>
          <w:sz w:val="32"/>
          <w:szCs w:val="32"/>
        </w:rPr>
        <w:t>可以。以非最高学历专业报考的，</w:t>
      </w:r>
      <w:r>
        <w:rPr>
          <w:rFonts w:hint="default" w:ascii="Times New Roman" w:hAnsi="Times New Roman" w:eastAsia="仿宋_GB2312" w:cs="Times New Roman"/>
          <w:color w:val="auto"/>
          <w:kern w:val="0"/>
          <w:sz w:val="32"/>
          <w:szCs w:val="32"/>
          <w:highlight w:val="none"/>
          <w:u w:val="none"/>
          <w:lang w:val="en-US" w:eastAsia="zh-CN" w:bidi="ar-SA"/>
        </w:rPr>
        <w:t>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14:paraId="6D8FC98F">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default" w:ascii="楷体" w:hAnsi="楷体" w:eastAsia="楷体"/>
          <w:sz w:val="32"/>
          <w:szCs w:val="32"/>
          <w:lang w:val="en-US" w:eastAsia="zh-CN"/>
        </w:rPr>
        <w:t>应聘人员应如何判断</w:t>
      </w:r>
      <w:r>
        <w:rPr>
          <w:rFonts w:hint="eastAsia" w:ascii="楷体" w:hAnsi="楷体" w:eastAsia="楷体"/>
          <w:sz w:val="32"/>
          <w:szCs w:val="32"/>
          <w:lang w:val="en-US" w:eastAsia="zh-CN"/>
        </w:rPr>
        <w:t>本人</w:t>
      </w:r>
      <w:r>
        <w:rPr>
          <w:rFonts w:hint="default" w:ascii="楷体" w:hAnsi="楷体" w:eastAsia="楷体"/>
          <w:sz w:val="32"/>
          <w:szCs w:val="32"/>
          <w:lang w:val="en-US" w:eastAsia="zh-CN"/>
        </w:rPr>
        <w:t>所学专业？</w:t>
      </w:r>
    </w:p>
    <w:p w14:paraId="70C27B61">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34F1D618">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w:t>
      </w:r>
      <w:r>
        <w:rPr>
          <w:rFonts w:hint="default" w:ascii="楷体" w:hAnsi="楷体" w:eastAsia="楷体"/>
          <w:sz w:val="32"/>
          <w:szCs w:val="32"/>
          <w:lang w:val="en-US" w:eastAsia="zh-CN"/>
        </w:rPr>
        <w:t>应聘人员应如何选择专业报考？</w:t>
      </w:r>
    </w:p>
    <w:p w14:paraId="76433488">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2A12B6A0">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22627F6C">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default" w:ascii="楷体" w:hAnsi="楷体" w:eastAsia="楷体"/>
          <w:sz w:val="32"/>
          <w:szCs w:val="32"/>
          <w:lang w:val="en-US" w:eastAsia="zh-CN"/>
        </w:rPr>
        <w:t>应聘人员以相近专业报考有什么要求？</w:t>
      </w:r>
    </w:p>
    <w:p w14:paraId="49932A6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3511A36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435D73A8">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w:t>
      </w:r>
      <w:r>
        <w:rPr>
          <w:rFonts w:hint="default" w:ascii="楷体" w:hAnsi="楷体" w:eastAsia="楷体"/>
          <w:sz w:val="32"/>
          <w:szCs w:val="32"/>
          <w:lang w:val="en-US" w:eastAsia="zh-CN"/>
        </w:rPr>
        <w:t>应聘人员专业中有培养方向的如何报考？</w:t>
      </w:r>
    </w:p>
    <w:p w14:paraId="55FA8E4F">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w:t>
      </w:r>
    </w:p>
    <w:p w14:paraId="114C4F3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5FED5F49">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）国（境）外学历、学位人员需要提供哪些材料？</w:t>
      </w:r>
    </w:p>
    <w:p w14:paraId="01968C96">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14:paraId="7F26BE5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二、关于考试及体检 </w:t>
      </w:r>
    </w:p>
    <w:p w14:paraId="27B858E6">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一</w:t>
      </w:r>
      <w:r>
        <w:rPr>
          <w:rFonts w:hint="eastAsia" w:ascii="楷体" w:hAnsi="楷体" w:eastAsia="楷体"/>
          <w:sz w:val="32"/>
          <w:szCs w:val="32"/>
          <w:lang w:eastAsia="zh-CN"/>
        </w:rPr>
        <w:t>）</w:t>
      </w:r>
      <w:r>
        <w:rPr>
          <w:rFonts w:hint="eastAsia" w:ascii="楷体" w:hAnsi="楷体" w:eastAsia="楷体"/>
          <w:sz w:val="32"/>
          <w:szCs w:val="32"/>
        </w:rPr>
        <w:t>居民身份证遗失或正在办理中，如何参加考试或体检。</w:t>
      </w:r>
    </w:p>
    <w:p w14:paraId="68DB0302">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14:paraId="0AA18E6D">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居民身份证办理受理回执或户口所在地派出所开具的带有考生本人照片并加盖公章的居民身份证明，能否代替居民身份证参加考试或体检？</w:t>
      </w:r>
    </w:p>
    <w:p w14:paraId="7DED48BD">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14:paraId="5053D64A">
      <w:pPr>
        <w:spacing w:line="54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楷体" w:hAnsi="楷体" w:eastAsia="楷体"/>
          <w:sz w:val="32"/>
          <w:szCs w:val="32"/>
        </w:rPr>
        <w:t>笔试如何安排？</w:t>
      </w:r>
    </w:p>
    <w:p w14:paraId="60DC42D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hint="eastAsia" w:eastAsia="方正仿宋_GBK"/>
          <w:color w:val="auto"/>
          <w:sz w:val="32"/>
          <w:szCs w:val="24"/>
          <w:highlight w:val="none"/>
        </w:rPr>
      </w:pPr>
      <w:r>
        <w:rPr>
          <w:rFonts w:hint="eastAsia" w:eastAsia="方正仿宋_GBK"/>
          <w:color w:val="auto"/>
          <w:sz w:val="32"/>
          <w:szCs w:val="24"/>
          <w:highlight w:val="none"/>
        </w:rPr>
        <w:t>通过报名资格初审的考生须</w:t>
      </w:r>
      <w:r>
        <w:rPr>
          <w:rFonts w:hint="eastAsia" w:eastAsia="方正仿宋_GBK"/>
          <w:color w:val="auto"/>
          <w:sz w:val="32"/>
          <w:szCs w:val="24"/>
          <w:highlight w:val="none"/>
          <w:lang w:eastAsia="zh-CN"/>
        </w:rPr>
        <w:t>登录</w:t>
      </w:r>
      <w:r>
        <w:rPr>
          <w:rFonts w:hint="eastAsia" w:eastAsia="方正仿宋_GBK"/>
          <w:color w:val="auto"/>
          <w:sz w:val="32"/>
          <w:szCs w:val="24"/>
          <w:highlight w:val="none"/>
        </w:rPr>
        <w:t>报名网站确认是否参加笔试。未在规定时间内按要求完成</w:t>
      </w:r>
      <w:r>
        <w:rPr>
          <w:rFonts w:hint="eastAsia" w:eastAsia="方正仿宋_GBK"/>
          <w:color w:val="auto"/>
          <w:sz w:val="32"/>
          <w:szCs w:val="24"/>
          <w:highlight w:val="none"/>
          <w:lang w:val="en-US" w:eastAsia="zh-CN"/>
        </w:rPr>
        <w:t>笔试</w:t>
      </w:r>
      <w:r>
        <w:rPr>
          <w:rFonts w:hint="eastAsia" w:eastAsia="方正仿宋_GBK"/>
          <w:color w:val="auto"/>
          <w:sz w:val="32"/>
          <w:szCs w:val="24"/>
          <w:highlight w:val="none"/>
        </w:rPr>
        <w:t>确认的，视为放弃考试资格。</w:t>
      </w:r>
      <w:r>
        <w:rPr>
          <w:rFonts w:hint="eastAsia" w:ascii="Times New Roman" w:hAnsi="Times New Roman" w:eastAsia="仿宋_GB2312" w:cs="Times New Roman"/>
          <w:color w:val="auto"/>
          <w:sz w:val="32"/>
          <w:szCs w:val="32"/>
          <w:highlight w:val="none"/>
        </w:rPr>
        <w:t>笔试时间为：2025年5月17日下午3:00-4:30，笔试地点详见准考证。</w:t>
      </w:r>
      <w:r>
        <w:rPr>
          <w:rFonts w:hint="eastAsia" w:eastAsia="方正仿宋_GBK"/>
          <w:color w:val="auto"/>
          <w:sz w:val="32"/>
          <w:szCs w:val="24"/>
          <w:highlight w:val="none"/>
        </w:rPr>
        <w:t>请</w:t>
      </w:r>
      <w:r>
        <w:rPr>
          <w:rFonts w:hint="eastAsia" w:eastAsia="方正仿宋_GBK"/>
          <w:color w:val="auto"/>
          <w:sz w:val="32"/>
          <w:szCs w:val="24"/>
          <w:highlight w:val="none"/>
          <w:lang w:val="en-US" w:eastAsia="zh-CN"/>
        </w:rPr>
        <w:t>留意</w:t>
      </w:r>
      <w:r>
        <w:rPr>
          <w:rFonts w:hint="eastAsia" w:eastAsia="方正仿宋_GBK"/>
          <w:color w:val="auto"/>
          <w:sz w:val="32"/>
          <w:szCs w:val="24"/>
          <w:highlight w:val="none"/>
        </w:rPr>
        <w:t>关注</w:t>
      </w:r>
      <w:r>
        <w:rPr>
          <w:rFonts w:hint="default" w:ascii="Times New Roman" w:hAnsi="Times New Roman" w:eastAsia="仿宋_GB2312" w:cs="Times New Roman"/>
          <w:color w:val="auto"/>
          <w:sz w:val="32"/>
          <w:szCs w:val="32"/>
          <w:highlight w:val="none"/>
        </w:rPr>
        <w:t>仲恺高新区管理委员会门户网站（http://www.hzzk.gov.cn）—政务公开—人事信息栏目</w:t>
      </w:r>
      <w:r>
        <w:rPr>
          <w:rFonts w:hint="eastAsia" w:eastAsia="方正仿宋_GBK"/>
          <w:color w:val="auto"/>
          <w:sz w:val="32"/>
          <w:szCs w:val="24"/>
          <w:highlight w:val="none"/>
          <w:lang w:val="en-US" w:eastAsia="zh-CN"/>
        </w:rPr>
        <w:t>有关</w:t>
      </w:r>
      <w:r>
        <w:rPr>
          <w:rFonts w:hint="eastAsia" w:eastAsia="方正仿宋_GBK"/>
          <w:color w:val="auto"/>
          <w:sz w:val="32"/>
          <w:szCs w:val="24"/>
          <w:highlight w:val="none"/>
        </w:rPr>
        <w:t xml:space="preserve">通知通告。 </w:t>
      </w:r>
    </w:p>
    <w:p w14:paraId="17A502D3">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四</w:t>
      </w:r>
      <w:r>
        <w:rPr>
          <w:rFonts w:hint="eastAsia" w:ascii="楷体" w:hAnsi="楷体" w:eastAsia="楷体"/>
          <w:sz w:val="32"/>
          <w:szCs w:val="32"/>
          <w:lang w:eastAsia="zh-CN"/>
        </w:rPr>
        <w:t>）</w:t>
      </w:r>
      <w:r>
        <w:rPr>
          <w:rFonts w:hint="eastAsia" w:ascii="楷体" w:hAnsi="楷体" w:eastAsia="楷体"/>
          <w:sz w:val="32"/>
          <w:szCs w:val="32"/>
        </w:rPr>
        <w:t>体检如何组织</w:t>
      </w:r>
      <w:bookmarkStart w:id="0" w:name="_GoBack"/>
      <w:r>
        <w:rPr>
          <w:rFonts w:hint="eastAsia" w:ascii="楷体" w:hAnsi="楷体" w:eastAsia="楷体"/>
          <w:sz w:val="32"/>
          <w:szCs w:val="32"/>
        </w:rPr>
        <w:t>？</w:t>
      </w:r>
      <w:bookmarkEnd w:id="0"/>
    </w:p>
    <w:p w14:paraId="1FD0239C">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体检的项目和标准根据《广东省事业单位公开招聘人员体检实施细则（试行）》确定。事业单位招聘工作人员按照《广东省事业单位公开招聘人员体检通用标准》执行。</w:t>
      </w:r>
    </w:p>
    <w:p w14:paraId="3252955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三、其他 </w:t>
      </w:r>
    </w:p>
    <w:p w14:paraId="14EC29D1">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）对违纪违规行为，有哪几种处理方式？</w:t>
      </w:r>
    </w:p>
    <w:p w14:paraId="09EB608F">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14:paraId="6838B80B">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）在招聘过程中，考生被录用为公务员或被其他事业单位聘用为事业单位工作人员，应如何处理？</w:t>
      </w:r>
    </w:p>
    <w:p w14:paraId="612A0412">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14:paraId="51D4DBB3">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）考察时需要对报考人员进行资格复审吗？</w:t>
      </w:r>
    </w:p>
    <w:p w14:paraId="63C2E4A5">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14:paraId="22497D5C">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）如何理解“聘用后即构成回避关系”的岗位?</w:t>
      </w:r>
    </w:p>
    <w:p w14:paraId="606F048F">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14:paraId="555E26D5">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为避免因咨询电话拥挤而影响报名，考生如有疑问，应先详细阅读公告及岗位表等;如仍有疑问，再电话咨询。工作人员仅对公告内容及政策给予解释，不对报考人员是否符合岗位条件进行确认。</w:t>
      </w:r>
    </w:p>
    <w:p w14:paraId="767395E5">
      <w:pPr>
        <w:pStyle w:val="2"/>
      </w:pP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3589F-6BC8-4A77-B20C-732B3BD24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B05290-E3BD-49FA-AEA5-6AAD22984BA8}"/>
  </w:font>
  <w:font w:name="仿宋">
    <w:panose1 w:val="02010609060101010101"/>
    <w:charset w:val="86"/>
    <w:family w:val="modern"/>
    <w:pitch w:val="default"/>
    <w:sig w:usb0="800002BF" w:usb1="38CF7CFA" w:usb2="00000016" w:usb3="00000000" w:csb0="00040001" w:csb1="00000000"/>
    <w:embedRegular r:id="rId3" w:fontKey="{83204287-6152-480C-8F74-BEF8096325E7}"/>
  </w:font>
  <w:font w:name="方正小标宋_GBK">
    <w:panose1 w:val="02000000000000000000"/>
    <w:charset w:val="86"/>
    <w:family w:val="script"/>
    <w:pitch w:val="default"/>
    <w:sig w:usb0="00000001" w:usb1="080E0000" w:usb2="00000000" w:usb3="00000000" w:csb0="00040000" w:csb1="00000000"/>
    <w:embedRegular r:id="rId4" w:fontKey="{06D3170F-731C-43BC-8ED8-9E0F9D78E14D}"/>
  </w:font>
  <w:font w:name="楷体">
    <w:panose1 w:val="02010609060101010101"/>
    <w:charset w:val="86"/>
    <w:family w:val="modern"/>
    <w:pitch w:val="default"/>
    <w:sig w:usb0="800002BF" w:usb1="38CF7CFA" w:usb2="00000016" w:usb3="00000000" w:csb0="00040001" w:csb1="00000000"/>
    <w:embedRegular r:id="rId5" w:fontKey="{A9CC2523-0189-4D22-9FA4-53F965D13E49}"/>
  </w:font>
  <w:font w:name="仿宋_GB2312">
    <w:panose1 w:val="02010609030101010101"/>
    <w:charset w:val="86"/>
    <w:family w:val="modern"/>
    <w:pitch w:val="default"/>
    <w:sig w:usb0="00000001" w:usb1="080E0000" w:usb2="00000000" w:usb3="00000000" w:csb0="00040000" w:csb1="00000000"/>
    <w:embedRegular r:id="rId6" w:fontKey="{929D58D8-9C46-4445-A69B-0F77395371AB}"/>
  </w:font>
  <w:font w:name="方正仿宋_GBK">
    <w:panose1 w:val="02000000000000000000"/>
    <w:charset w:val="86"/>
    <w:family w:val="script"/>
    <w:pitch w:val="default"/>
    <w:sig w:usb0="00000001" w:usb1="080E0000" w:usb2="00000000" w:usb3="00000000" w:csb0="00040000" w:csb1="00000000"/>
    <w:embedRegular r:id="rId7" w:fontKey="{2822ED7B-AFE1-4F41-88FD-60C8555AEC9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14:paraId="6AA655B1">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073E7FC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14:paraId="6ED09325">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6B6BFF9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YzBhOTZiYmIwYzFmZDliZmYyNGZjM2Q3ZDIyYWIifQ=="/>
  </w:docVars>
  <w:rsids>
    <w:rsidRoot w:val="00172A27"/>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5F3078F"/>
    <w:rsid w:val="0746238C"/>
    <w:rsid w:val="09C60DB3"/>
    <w:rsid w:val="0C4149DC"/>
    <w:rsid w:val="0C8F5023"/>
    <w:rsid w:val="0CE1319C"/>
    <w:rsid w:val="0DED4FFB"/>
    <w:rsid w:val="0ECD2925"/>
    <w:rsid w:val="13630DA6"/>
    <w:rsid w:val="17943D5B"/>
    <w:rsid w:val="18610694"/>
    <w:rsid w:val="19983399"/>
    <w:rsid w:val="1B3A7F0B"/>
    <w:rsid w:val="1CEF7861"/>
    <w:rsid w:val="1F0816E4"/>
    <w:rsid w:val="21E312B3"/>
    <w:rsid w:val="22B8721A"/>
    <w:rsid w:val="29385E70"/>
    <w:rsid w:val="2F9D566D"/>
    <w:rsid w:val="30CC6607"/>
    <w:rsid w:val="324F6C8C"/>
    <w:rsid w:val="39C479B8"/>
    <w:rsid w:val="3D9B472A"/>
    <w:rsid w:val="442C596B"/>
    <w:rsid w:val="49090B69"/>
    <w:rsid w:val="4BED4C39"/>
    <w:rsid w:val="4C7B5F53"/>
    <w:rsid w:val="4F8351B3"/>
    <w:rsid w:val="5473756B"/>
    <w:rsid w:val="57423331"/>
    <w:rsid w:val="57743F37"/>
    <w:rsid w:val="5BD862EF"/>
    <w:rsid w:val="634B5E46"/>
    <w:rsid w:val="653720F0"/>
    <w:rsid w:val="65CC3111"/>
    <w:rsid w:val="66137F6F"/>
    <w:rsid w:val="6BE14AB4"/>
    <w:rsid w:val="6CD267E9"/>
    <w:rsid w:val="6D5D2756"/>
    <w:rsid w:val="7F632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link w:val="15"/>
    <w:unhideWhenUsed/>
    <w:qFormat/>
    <w:uiPriority w:val="99"/>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unhideWhenUsed/>
    <w:qFormat/>
    <w:uiPriority w:val="0"/>
    <w:rPr>
      <w:rFonts w:hint="default"/>
      <w:sz w:val="24"/>
      <w:szCs w:val="24"/>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批注框文本 Char"/>
    <w:basedOn w:val="9"/>
    <w:link w:val="4"/>
    <w:semiHidden/>
    <w:qFormat/>
    <w:uiPriority w:val="99"/>
    <w:rPr>
      <w:sz w:val="18"/>
      <w:szCs w:val="18"/>
    </w:rPr>
  </w:style>
  <w:style w:type="character" w:customStyle="1" w:styleId="15">
    <w:name w:val="纯文本 Char"/>
    <w:basedOn w:val="9"/>
    <w:link w:val="3"/>
    <w:qFormat/>
    <w:uiPriority w:val="99"/>
    <w:rPr>
      <w:rFonts w:ascii="宋体" w:hAnsi="Courier New" w:eastAsia="宋体" w:cs="Courier New"/>
      <w:kern w:val="2"/>
      <w:sz w:val="21"/>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2125</Words>
  <Characters>2183</Characters>
  <Lines>25</Lines>
  <Paragraphs>7</Paragraphs>
  <TotalTime>0</TotalTime>
  <ScaleCrop>false</ScaleCrop>
  <LinksUpToDate>false</LinksUpToDate>
  <CharactersWithSpaces>2190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恩恩</cp:lastModifiedBy>
  <cp:lastPrinted>2024-04-01T02:50:00Z</cp:lastPrinted>
  <dcterms:modified xsi:type="dcterms:W3CDTF">2025-04-27T09:04:52Z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D9645442F9884E90A701FB397FC1DB43</vt:lpwstr>
  </property>
  <property fmtid="{D5CDD505-2E9C-101B-9397-08002B2CF9AE}" pid="4" name="KSOTemplateDocerSaveRecord">
    <vt:lpwstr>eyJoZGlkIjoiMjFkMGNiYjQzYmY2MWQ5Y2E0NzM5YjQxYzIzYjgzY2YiLCJ1c2VySWQiOiIyMjg5MTg2MTYifQ==</vt:lpwstr>
  </property>
</Properties>
</file>