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color w:val="auto"/>
          <w:spacing w:val="20"/>
          <w:kern w:val="11"/>
          <w:sz w:val="28"/>
          <w:szCs w:val="32"/>
          <w:highlight w:val="none"/>
        </w:rPr>
      </w:pPr>
      <w:r>
        <w:rPr>
          <w:rFonts w:hint="eastAsia" w:ascii="方正小标宋_GBK" w:hAnsi="Times New Roman" w:eastAsia="方正小标宋_GBK"/>
          <w:color w:val="auto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680"/>
        <w:gridCol w:w="1267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负责幼儿园相关安全等工作；完成领导交办的其他工作。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1. 具备初中及以上学历。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2. 年龄45周岁及以下。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 持有公安机关颁发的保安员证，经当地公安机关审查和采集留存指纹等人体生物信息。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1.保安员证；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C00000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color w:val="C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  <w:t>保洁人员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负责幼儿园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的保洁工作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 托幼机构体检证为有效期内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</w:tbl>
    <w:p>
      <w:pPr>
        <w:rPr>
          <w:color w:val="auto"/>
          <w:sz w:val="24"/>
          <w:szCs w:val="24"/>
        </w:rPr>
      </w:pPr>
      <w:bookmarkStart w:id="1" w:name="_GoBack"/>
      <w:bookmarkEnd w:id="1"/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277BADDD"/>
    <w:rsid w:val="412436EE"/>
    <w:rsid w:val="4BECCC36"/>
    <w:rsid w:val="63FE1270"/>
    <w:rsid w:val="6DAC0C09"/>
    <w:rsid w:val="7F8DFAB1"/>
    <w:rsid w:val="BFBEBD4E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0</TotalTime>
  <ScaleCrop>false</ScaleCrop>
  <LinksUpToDate>false</LinksUpToDate>
  <CharactersWithSpaces>1346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2023-01-19T04:42:00Z</dcterms:created>
  <dc:creator>zhi</dc:creator>
  <cp:lastModifiedBy>lenovo</cp:lastModifiedBy>
  <dcterms:modified xsi:type="dcterms:W3CDTF">2025-05-06T16:22:40Z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