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方正小标宋简体" w:hAnsi="Times New Roman" w:eastAsia="方正小标宋简体" w:cs="Times New Roman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赣南医科大学2025年公开招聘专职辅导员岗位表</w:t>
      </w:r>
    </w:p>
    <w:tbl>
      <w:tblPr>
        <w:tblStyle w:val="4"/>
        <w:tblpPr w:leftFromText="180" w:rightFromText="180" w:vertAnchor="text" w:horzAnchor="page" w:tblpX="1570" w:tblpY="576"/>
        <w:tblOverlap w:val="never"/>
        <w:tblW w:w="8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18"/>
        <w:gridCol w:w="900"/>
        <w:gridCol w:w="930"/>
        <w:gridCol w:w="5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 条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需要入住男生宿舍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男性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需要入住男生宿舍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男性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ejaVu San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DejaVu San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DejaVu San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4A1E"/>
    <w:rsid w:val="1E4A48B6"/>
    <w:rsid w:val="2DBD43D2"/>
    <w:rsid w:val="36367510"/>
    <w:rsid w:val="3ABF7FB0"/>
    <w:rsid w:val="540B5782"/>
    <w:rsid w:val="5B35747F"/>
    <w:rsid w:val="67DA322F"/>
    <w:rsid w:val="68A52565"/>
    <w:rsid w:val="6E254A1E"/>
    <w:rsid w:val="70712FAC"/>
    <w:rsid w:val="79A4194C"/>
    <w:rsid w:val="ACFBF750"/>
    <w:rsid w:val="E7E5E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样式2"/>
    <w:basedOn w:val="1"/>
    <w:qFormat/>
    <w:uiPriority w:val="0"/>
    <w:pPr>
      <w:spacing w:line="560" w:lineRule="exact"/>
      <w:ind w:firstLine="602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340</Characters>
  <Lines>0</Lines>
  <Paragraphs>0</Paragraphs>
  <TotalTime>11</TotalTime>
  <ScaleCrop>false</ScaleCrop>
  <LinksUpToDate>false</LinksUpToDate>
  <CharactersWithSpaces>340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2025-03-27T00:27:00Z</dcterms:created>
  <dc:creator>郑哲韬</dc:creator>
  <cp:lastModifiedBy>WPS_1703037799</cp:lastModifiedBy>
  <cp:lastPrinted>2025-04-08T16:50:00Z</cp:lastPrinted>
  <dcterms:modified xsi:type="dcterms:W3CDTF">2025-04-30T13:58:09Z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eyJoZGlkIjoiNzJlYjQxOTlkZmE2MWU0ZWYxOTI2MDhhZGNjMzA4OTciLCJ1c2VySWQiOiIxNTcwNDU2MzA2In0=</vt:lpwstr>
  </property>
</Properties>
</file>