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B421B">
      <w:pPr>
        <w:spacing w:beforeLines="50" w:afterLines="50" w:line="600" w:lineRule="exact"/>
        <w:ind w:firstLine="880"/>
        <w:jc w:val="center"/>
        <w:rPr>
          <w:rFonts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大名县</w:t>
      </w:r>
      <w:r>
        <w:rPr>
          <w:rFonts w:ascii="方正小标宋简体" w:hAnsi="方正小标宋简体" w:eastAsia="方正小标宋简体" w:cs="方正小标宋简体"/>
          <w:bCs/>
          <w:color w:val="000000"/>
          <w:kern w:val="0"/>
          <w:sz w:val="44"/>
          <w:szCs w:val="44"/>
        </w:rPr>
        <w:t>202</w:t>
      </w:r>
      <w:r>
        <w:rPr>
          <w:rFonts w:hint="eastAsia" w:ascii="方正小标宋简体" w:hAnsi="方正小标宋简体" w:eastAsia="方正小标宋简体" w:cs="方正小标宋简体"/>
          <w:bCs/>
          <w:color w:val="000000"/>
          <w:kern w:val="0"/>
          <w:sz w:val="44"/>
          <w:szCs w:val="44"/>
        </w:rPr>
        <w:t>5年选调教师量化积分标准</w:t>
      </w:r>
    </w:p>
    <w:p w14:paraId="0EDEAB7C">
      <w:pPr>
        <w:pStyle w:val="4"/>
        <w:widowControl/>
        <w:spacing w:beforeAutospacing="0" w:afterAutospacing="0"/>
        <w:ind w:firstLine="640" w:firstLineChars="200"/>
        <w:rPr>
          <w:rFonts w:ascii="仿宋" w:hAnsi="仿宋" w:eastAsia="仿宋" w:cs="宋体"/>
          <w:sz w:val="32"/>
          <w:szCs w:val="32"/>
        </w:rPr>
      </w:pPr>
      <w:r>
        <w:rPr>
          <w:rFonts w:ascii="仿宋" w:hAnsi="仿宋" w:eastAsia="仿宋" w:cs="仿宋_GB2312"/>
          <w:sz w:val="32"/>
          <w:szCs w:val="32"/>
          <w:shd w:val="clear" w:color="auto" w:fill="FFFFFF"/>
        </w:rPr>
        <w:t>1.</w:t>
      </w:r>
      <w:r>
        <w:rPr>
          <w:rFonts w:hint="eastAsia" w:ascii="仿宋" w:hAnsi="仿宋" w:eastAsia="仿宋" w:cs="仿宋_GB2312"/>
          <w:sz w:val="32"/>
          <w:szCs w:val="32"/>
          <w:shd w:val="clear" w:color="auto" w:fill="FFFFFF"/>
        </w:rPr>
        <w:t>学历计分：</w:t>
      </w:r>
      <w:r>
        <w:rPr>
          <w:rFonts w:hint="eastAsia" w:ascii="仿宋" w:hAnsi="仿宋" w:eastAsia="仿宋" w:cs="仿宋_GB2312"/>
          <w:sz w:val="32"/>
          <w:szCs w:val="32"/>
        </w:rPr>
        <w:t>全日制学历积分标准如下：</w:t>
      </w:r>
      <w:r>
        <w:rPr>
          <w:rFonts w:hint="eastAsia" w:ascii="仿宋" w:hAnsi="仿宋" w:eastAsia="仿宋" w:cs="宋体"/>
          <w:sz w:val="32"/>
          <w:szCs w:val="32"/>
        </w:rPr>
        <w:t>专科</w:t>
      </w:r>
      <w:r>
        <w:rPr>
          <w:rFonts w:ascii="仿宋" w:hAnsi="仿宋" w:eastAsia="仿宋" w:cs="宋体"/>
          <w:sz w:val="32"/>
          <w:szCs w:val="32"/>
        </w:rPr>
        <w:t>1</w:t>
      </w:r>
      <w:r>
        <w:rPr>
          <w:rFonts w:hint="eastAsia" w:ascii="仿宋" w:hAnsi="仿宋" w:eastAsia="仿宋" w:cs="宋体"/>
          <w:sz w:val="32"/>
          <w:szCs w:val="32"/>
        </w:rPr>
        <w:t>分、本科</w:t>
      </w:r>
      <w:r>
        <w:rPr>
          <w:rFonts w:ascii="仿宋" w:hAnsi="仿宋" w:eastAsia="仿宋" w:cs="宋体"/>
          <w:sz w:val="32"/>
          <w:szCs w:val="32"/>
        </w:rPr>
        <w:t>2</w:t>
      </w:r>
      <w:r>
        <w:rPr>
          <w:rFonts w:hint="eastAsia" w:ascii="仿宋" w:hAnsi="仿宋" w:eastAsia="仿宋" w:cs="宋体"/>
          <w:sz w:val="32"/>
          <w:szCs w:val="32"/>
        </w:rPr>
        <w:t>分、</w:t>
      </w:r>
      <w:r>
        <w:rPr>
          <w:rFonts w:hint="eastAsia" w:ascii="仿宋" w:hAnsi="仿宋" w:eastAsia="仿宋" w:cs="仿宋_GB2312"/>
          <w:sz w:val="32"/>
          <w:szCs w:val="32"/>
        </w:rPr>
        <w:t>硕士研究生</w:t>
      </w:r>
      <w:r>
        <w:rPr>
          <w:rFonts w:ascii="仿宋" w:hAnsi="仿宋" w:eastAsia="仿宋" w:cs="仿宋_GB2312"/>
          <w:sz w:val="32"/>
          <w:szCs w:val="32"/>
        </w:rPr>
        <w:t>3</w:t>
      </w:r>
      <w:r>
        <w:rPr>
          <w:rFonts w:hint="eastAsia" w:ascii="仿宋" w:hAnsi="仿宋" w:eastAsia="仿宋" w:cs="仿宋_GB2312"/>
          <w:sz w:val="32"/>
          <w:szCs w:val="32"/>
        </w:rPr>
        <w:t>分、博士研究生</w:t>
      </w:r>
      <w:r>
        <w:rPr>
          <w:rFonts w:ascii="仿宋" w:hAnsi="仿宋" w:eastAsia="仿宋" w:cs="仿宋_GB2312"/>
          <w:sz w:val="32"/>
          <w:szCs w:val="32"/>
        </w:rPr>
        <w:t>5</w:t>
      </w:r>
      <w:r>
        <w:rPr>
          <w:rFonts w:hint="eastAsia" w:ascii="仿宋" w:hAnsi="仿宋" w:eastAsia="仿宋" w:cs="仿宋_GB2312"/>
          <w:sz w:val="32"/>
          <w:szCs w:val="32"/>
        </w:rPr>
        <w:t>分。师范类学历增加</w:t>
      </w:r>
      <w:r>
        <w:rPr>
          <w:rFonts w:ascii="仿宋" w:hAnsi="仿宋" w:eastAsia="仿宋" w:cs="仿宋_GB2312"/>
          <w:sz w:val="32"/>
          <w:szCs w:val="32"/>
        </w:rPr>
        <w:t>3</w:t>
      </w:r>
      <w:r>
        <w:rPr>
          <w:rFonts w:hint="eastAsia" w:ascii="仿宋" w:hAnsi="仿宋" w:eastAsia="仿宋" w:cs="仿宋_GB2312"/>
          <w:sz w:val="32"/>
          <w:szCs w:val="32"/>
        </w:rPr>
        <w:t>分，累计积分。</w:t>
      </w:r>
    </w:p>
    <w:p w14:paraId="19F0040F">
      <w:pPr>
        <w:ind w:firstLine="640" w:firstLineChars="20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工作年限：任职时间指（从事教育工作的时间）每年计</w:t>
      </w:r>
      <w:r>
        <w:rPr>
          <w:rFonts w:ascii="仿宋" w:hAnsi="仿宋" w:eastAsia="仿宋" w:cs="仿宋_GB2312"/>
          <w:sz w:val="32"/>
          <w:szCs w:val="32"/>
        </w:rPr>
        <w:t>1</w:t>
      </w:r>
      <w:r>
        <w:rPr>
          <w:rFonts w:hint="eastAsia" w:ascii="仿宋" w:hAnsi="仿宋" w:eastAsia="仿宋" w:cs="仿宋_GB2312"/>
          <w:sz w:val="32"/>
          <w:szCs w:val="32"/>
        </w:rPr>
        <w:t>分。</w:t>
      </w:r>
    </w:p>
    <w:p w14:paraId="3362BE2A">
      <w:pPr>
        <w:ind w:firstLine="640" w:firstLineChars="200"/>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专业技术职称：初级</w:t>
      </w:r>
      <w:r>
        <w:rPr>
          <w:rFonts w:ascii="仿宋" w:hAnsi="仿宋" w:eastAsia="仿宋" w:cs="仿宋_GB2312"/>
          <w:sz w:val="32"/>
          <w:szCs w:val="32"/>
        </w:rPr>
        <w:t>1</w:t>
      </w:r>
      <w:r>
        <w:rPr>
          <w:rFonts w:hint="eastAsia" w:ascii="仿宋" w:hAnsi="仿宋" w:eastAsia="仿宋" w:cs="仿宋_GB2312"/>
          <w:sz w:val="32"/>
          <w:szCs w:val="32"/>
        </w:rPr>
        <w:t>分、中级</w:t>
      </w:r>
      <w:r>
        <w:rPr>
          <w:rFonts w:ascii="仿宋" w:hAnsi="仿宋" w:eastAsia="仿宋" w:cs="仿宋_GB2312"/>
          <w:sz w:val="32"/>
          <w:szCs w:val="32"/>
        </w:rPr>
        <w:t>3</w:t>
      </w:r>
      <w:r>
        <w:rPr>
          <w:rFonts w:hint="eastAsia" w:ascii="仿宋" w:hAnsi="仿宋" w:eastAsia="仿宋" w:cs="仿宋_GB2312"/>
          <w:sz w:val="32"/>
          <w:szCs w:val="32"/>
        </w:rPr>
        <w:t>分、高级</w:t>
      </w:r>
      <w:r>
        <w:rPr>
          <w:rFonts w:ascii="仿宋" w:hAnsi="仿宋" w:eastAsia="仿宋" w:cs="仿宋_GB2312"/>
          <w:sz w:val="32"/>
          <w:szCs w:val="32"/>
        </w:rPr>
        <w:t>5</w:t>
      </w:r>
      <w:r>
        <w:rPr>
          <w:rFonts w:hint="eastAsia" w:ascii="仿宋" w:hAnsi="仿宋" w:eastAsia="仿宋" w:cs="仿宋_GB2312"/>
          <w:sz w:val="32"/>
          <w:szCs w:val="32"/>
        </w:rPr>
        <w:t>分。</w:t>
      </w:r>
    </w:p>
    <w:p w14:paraId="2F42FBB5">
      <w:pPr>
        <w:ind w:firstLine="640" w:firstLineChars="200"/>
        <w:rPr>
          <w:rFonts w:ascii="仿宋" w:hAnsi="仿宋" w:eastAsia="仿宋" w:cs="仿宋_GB2312"/>
          <w:sz w:val="32"/>
          <w:szCs w:val="32"/>
        </w:rPr>
      </w:pPr>
      <w:r>
        <w:rPr>
          <w:rFonts w:ascii="仿宋" w:hAnsi="仿宋" w:eastAsia="仿宋" w:cs="宋体"/>
          <w:sz w:val="32"/>
          <w:szCs w:val="32"/>
          <w:shd w:val="clear" w:color="auto" w:fill="FFFFFF"/>
        </w:rPr>
        <w:t>4.</w:t>
      </w:r>
      <w:r>
        <w:rPr>
          <w:rFonts w:hint="eastAsia" w:ascii="仿宋" w:hAnsi="仿宋" w:eastAsia="仿宋" w:cs="仿宋_GB2312"/>
          <w:sz w:val="32"/>
          <w:szCs w:val="32"/>
        </w:rPr>
        <w:t>年度考核：年度考核优秀每次</w:t>
      </w:r>
      <w:r>
        <w:rPr>
          <w:rFonts w:ascii="仿宋" w:hAnsi="仿宋" w:eastAsia="仿宋" w:cs="仿宋_GB2312"/>
          <w:sz w:val="32"/>
          <w:szCs w:val="32"/>
        </w:rPr>
        <w:t>1</w:t>
      </w:r>
      <w:r>
        <w:rPr>
          <w:rFonts w:hint="eastAsia" w:ascii="仿宋" w:hAnsi="仿宋" w:eastAsia="仿宋" w:cs="仿宋_GB2312"/>
          <w:sz w:val="32"/>
          <w:szCs w:val="32"/>
        </w:rPr>
        <w:t>分。</w:t>
      </w:r>
    </w:p>
    <w:p w14:paraId="73A89C14">
      <w:pPr>
        <w:ind w:firstLine="640" w:firstLineChars="200"/>
        <w:rPr>
          <w:rFonts w:ascii="仿宋" w:hAnsi="仿宋" w:eastAsia="仿宋" w:cs="仿宋_GB2312"/>
          <w:sz w:val="32"/>
          <w:szCs w:val="32"/>
        </w:rPr>
      </w:pPr>
      <w:r>
        <w:rPr>
          <w:rFonts w:ascii="仿宋" w:hAnsi="仿宋" w:eastAsia="仿宋" w:cs="仿宋_GB2312"/>
          <w:sz w:val="32"/>
          <w:szCs w:val="32"/>
        </w:rPr>
        <w:t>5.</w:t>
      </w:r>
      <w:r>
        <w:rPr>
          <w:rFonts w:hint="eastAsia" w:ascii="仿宋" w:hAnsi="仿宋" w:eastAsia="仿宋" w:cs="仿宋_GB2312"/>
          <w:sz w:val="32"/>
          <w:szCs w:val="32"/>
        </w:rPr>
        <w:t>业绩成果：获县、市、省、国家政府部门授予成果奖，分别按</w:t>
      </w:r>
      <w:r>
        <w:rPr>
          <w:rFonts w:ascii="仿宋" w:hAnsi="仿宋" w:eastAsia="仿宋" w:cs="仿宋_GB2312"/>
          <w:sz w:val="32"/>
          <w:szCs w:val="32"/>
        </w:rPr>
        <w:t>2</w:t>
      </w:r>
      <w:r>
        <w:rPr>
          <w:rFonts w:hint="eastAsia" w:ascii="仿宋" w:hAnsi="仿宋" w:eastAsia="仿宋" w:cs="仿宋_GB2312"/>
          <w:sz w:val="32"/>
          <w:szCs w:val="32"/>
        </w:rPr>
        <w:t>、</w:t>
      </w:r>
      <w:r>
        <w:rPr>
          <w:rFonts w:ascii="仿宋" w:hAnsi="仿宋" w:eastAsia="仿宋" w:cs="仿宋_GB2312"/>
          <w:sz w:val="32"/>
          <w:szCs w:val="32"/>
        </w:rPr>
        <w:t>5</w:t>
      </w:r>
      <w:r>
        <w:rPr>
          <w:rFonts w:hint="eastAsia" w:ascii="仿宋" w:hAnsi="仿宋" w:eastAsia="仿宋" w:cs="仿宋_GB2312"/>
          <w:sz w:val="32"/>
          <w:szCs w:val="32"/>
        </w:rPr>
        <w:t>、</w:t>
      </w:r>
      <w:r>
        <w:rPr>
          <w:rFonts w:ascii="仿宋" w:hAnsi="仿宋" w:eastAsia="仿宋" w:cs="仿宋_GB2312"/>
          <w:sz w:val="32"/>
          <w:szCs w:val="32"/>
        </w:rPr>
        <w:t>10</w:t>
      </w:r>
      <w:r>
        <w:rPr>
          <w:rFonts w:hint="eastAsia" w:ascii="仿宋" w:hAnsi="仿宋" w:eastAsia="仿宋" w:cs="仿宋_GB2312"/>
          <w:sz w:val="32"/>
          <w:szCs w:val="32"/>
        </w:rPr>
        <w:t>、</w:t>
      </w:r>
      <w:r>
        <w:rPr>
          <w:rFonts w:ascii="仿宋" w:hAnsi="仿宋" w:eastAsia="仿宋" w:cs="仿宋_GB2312"/>
          <w:sz w:val="32"/>
          <w:szCs w:val="32"/>
        </w:rPr>
        <w:t>15</w:t>
      </w:r>
      <w:r>
        <w:rPr>
          <w:rFonts w:hint="eastAsia" w:ascii="仿宋" w:hAnsi="仿宋" w:eastAsia="仿宋" w:cs="仿宋_GB2312"/>
          <w:sz w:val="32"/>
          <w:szCs w:val="32"/>
        </w:rPr>
        <w:t>分；教育部门授予成果奖，分别按</w:t>
      </w:r>
      <w:r>
        <w:rPr>
          <w:rFonts w:ascii="仿宋" w:hAnsi="仿宋" w:eastAsia="仿宋" w:cs="仿宋_GB2312"/>
          <w:sz w:val="32"/>
          <w:szCs w:val="32"/>
        </w:rPr>
        <w:t>1</w:t>
      </w:r>
      <w:r>
        <w:rPr>
          <w:rFonts w:hint="eastAsia" w:ascii="仿宋" w:hAnsi="仿宋" w:eastAsia="仿宋" w:cs="仿宋_GB2312"/>
          <w:sz w:val="32"/>
          <w:szCs w:val="32"/>
        </w:rPr>
        <w:t>、</w:t>
      </w:r>
      <w:r>
        <w:rPr>
          <w:rFonts w:ascii="仿宋" w:hAnsi="仿宋" w:eastAsia="仿宋" w:cs="仿宋_GB2312"/>
          <w:sz w:val="32"/>
          <w:szCs w:val="32"/>
        </w:rPr>
        <w:t>2</w:t>
      </w:r>
      <w:r>
        <w:rPr>
          <w:rFonts w:hint="eastAsia" w:ascii="仿宋" w:hAnsi="仿宋" w:eastAsia="仿宋" w:cs="仿宋_GB2312"/>
          <w:sz w:val="32"/>
          <w:szCs w:val="32"/>
        </w:rPr>
        <w:t>、</w:t>
      </w:r>
      <w:r>
        <w:rPr>
          <w:rFonts w:ascii="仿宋" w:hAnsi="仿宋" w:eastAsia="仿宋" w:cs="仿宋_GB2312"/>
          <w:sz w:val="32"/>
          <w:szCs w:val="32"/>
        </w:rPr>
        <w:t>3</w:t>
      </w:r>
      <w:r>
        <w:rPr>
          <w:rFonts w:hint="eastAsia" w:ascii="仿宋" w:hAnsi="仿宋" w:eastAsia="仿宋" w:cs="仿宋_GB2312"/>
          <w:sz w:val="32"/>
          <w:szCs w:val="32"/>
        </w:rPr>
        <w:t>、</w:t>
      </w:r>
      <w:r>
        <w:rPr>
          <w:rFonts w:ascii="仿宋" w:hAnsi="仿宋" w:eastAsia="仿宋" w:cs="仿宋_GB2312"/>
          <w:sz w:val="32"/>
          <w:szCs w:val="32"/>
        </w:rPr>
        <w:t>5</w:t>
      </w:r>
      <w:r>
        <w:rPr>
          <w:rFonts w:hint="eastAsia" w:ascii="仿宋" w:hAnsi="仿宋" w:eastAsia="仿宋" w:cs="仿宋_GB2312"/>
          <w:sz w:val="32"/>
          <w:szCs w:val="32"/>
        </w:rPr>
        <w:t>分计分；相应级别一、二、三等奖的按</w:t>
      </w:r>
      <w:r>
        <w:rPr>
          <w:rFonts w:ascii="仿宋" w:hAnsi="仿宋" w:eastAsia="仿宋" w:cs="仿宋_GB2312"/>
          <w:sz w:val="32"/>
          <w:szCs w:val="32"/>
        </w:rPr>
        <w:t>1</w:t>
      </w:r>
      <w:r>
        <w:rPr>
          <w:rFonts w:hint="eastAsia" w:ascii="仿宋" w:hAnsi="仿宋" w:eastAsia="仿宋" w:cs="仿宋_GB2312"/>
          <w:sz w:val="32"/>
          <w:szCs w:val="32"/>
        </w:rPr>
        <w:t>：</w:t>
      </w:r>
      <w:r>
        <w:rPr>
          <w:rFonts w:ascii="仿宋" w:hAnsi="仿宋" w:eastAsia="仿宋" w:cs="仿宋_GB2312"/>
          <w:sz w:val="32"/>
          <w:szCs w:val="32"/>
        </w:rPr>
        <w:t>0.8:0.5</w:t>
      </w:r>
      <w:r>
        <w:rPr>
          <w:rFonts w:hint="eastAsia" w:ascii="仿宋" w:hAnsi="仿宋" w:eastAsia="仿宋" w:cs="仿宋_GB2312"/>
          <w:sz w:val="32"/>
          <w:szCs w:val="32"/>
        </w:rPr>
        <w:t>计分。主要完成人按满分计分，其他完成人（不超过</w:t>
      </w:r>
      <w:r>
        <w:rPr>
          <w:rFonts w:ascii="仿宋" w:hAnsi="仿宋" w:eastAsia="仿宋" w:cs="仿宋_GB2312"/>
          <w:sz w:val="32"/>
          <w:szCs w:val="32"/>
        </w:rPr>
        <w:t>4</w:t>
      </w:r>
      <w:r>
        <w:rPr>
          <w:rFonts w:hint="eastAsia" w:ascii="仿宋" w:hAnsi="仿宋" w:eastAsia="仿宋" w:cs="仿宋_GB2312"/>
          <w:sz w:val="32"/>
          <w:szCs w:val="32"/>
        </w:rPr>
        <w:t>人）按相应级别二分之一计分。</w:t>
      </w:r>
    </w:p>
    <w:p w14:paraId="3B0A5F62">
      <w:pPr>
        <w:ind w:firstLine="640" w:firstLineChars="200"/>
        <w:rPr>
          <w:rFonts w:ascii="仿宋" w:hAnsi="仿宋" w:eastAsia="仿宋"/>
          <w:sz w:val="28"/>
          <w:szCs w:val="28"/>
        </w:rPr>
      </w:pPr>
      <w:r>
        <w:rPr>
          <w:rFonts w:ascii="仿宋" w:hAnsi="仿宋" w:eastAsia="仿宋" w:cs="仿宋_GB2312"/>
          <w:sz w:val="32"/>
          <w:szCs w:val="32"/>
        </w:rPr>
        <w:t>6.</w:t>
      </w:r>
      <w:r>
        <w:rPr>
          <w:rFonts w:hint="eastAsia" w:ascii="仿宋" w:hAnsi="仿宋" w:eastAsia="仿宋" w:cs="仿宋_GB2312"/>
          <w:sz w:val="32"/>
          <w:szCs w:val="32"/>
        </w:rPr>
        <w:t>荣誉称号：任现职以来，获奖项目按以下计分：县级</w:t>
      </w:r>
      <w:r>
        <w:rPr>
          <w:rFonts w:ascii="仿宋" w:hAnsi="仿宋" w:eastAsia="仿宋" w:cs="仿宋_GB2312"/>
          <w:sz w:val="32"/>
          <w:szCs w:val="32"/>
        </w:rPr>
        <w:t>1</w:t>
      </w:r>
      <w:r>
        <w:rPr>
          <w:rFonts w:hint="eastAsia" w:ascii="仿宋" w:hAnsi="仿宋" w:eastAsia="仿宋" w:cs="仿宋_GB2312"/>
          <w:sz w:val="32"/>
          <w:szCs w:val="32"/>
        </w:rPr>
        <w:t>分、市级</w:t>
      </w:r>
      <w:r>
        <w:rPr>
          <w:rFonts w:ascii="仿宋" w:hAnsi="仿宋" w:eastAsia="仿宋" w:cs="仿宋_GB2312"/>
          <w:sz w:val="32"/>
          <w:szCs w:val="32"/>
        </w:rPr>
        <w:t>3</w:t>
      </w:r>
      <w:r>
        <w:rPr>
          <w:rFonts w:hint="eastAsia" w:ascii="仿宋" w:hAnsi="仿宋" w:eastAsia="仿宋" w:cs="仿宋_GB2312"/>
          <w:sz w:val="32"/>
          <w:szCs w:val="32"/>
        </w:rPr>
        <w:t>分、省级</w:t>
      </w:r>
      <w:r>
        <w:rPr>
          <w:rFonts w:ascii="仿宋" w:hAnsi="仿宋" w:eastAsia="仿宋" w:cs="仿宋_GB2312"/>
          <w:sz w:val="32"/>
          <w:szCs w:val="32"/>
        </w:rPr>
        <w:t>5</w:t>
      </w:r>
      <w:r>
        <w:rPr>
          <w:rFonts w:hint="eastAsia" w:ascii="仿宋" w:hAnsi="仿宋" w:eastAsia="仿宋" w:cs="仿宋_GB2312"/>
          <w:sz w:val="32"/>
          <w:szCs w:val="32"/>
        </w:rPr>
        <w:t>分、国家级</w:t>
      </w:r>
      <w:r>
        <w:rPr>
          <w:rFonts w:ascii="仿宋" w:hAnsi="仿宋" w:eastAsia="仿宋" w:cs="仿宋_GB2312"/>
          <w:sz w:val="32"/>
          <w:szCs w:val="32"/>
        </w:rPr>
        <w:t>10</w:t>
      </w:r>
      <w:r>
        <w:rPr>
          <w:rFonts w:hint="eastAsia" w:ascii="仿宋" w:hAnsi="仿宋" w:eastAsia="仿宋" w:cs="仿宋_GB2312"/>
          <w:sz w:val="32"/>
          <w:szCs w:val="32"/>
        </w:rPr>
        <w:t>分。奖励级别包括各级政府和本级政府部门所授予的综合类奖励项目，单项类奖励降一级别计分。“省级政府荣誉称号”是指由省政府或省教育、人社行政部门联合代表省政府或省级教育行政部门代表省政府颁发的中小学幼儿园教育和教师相关的政府荣誉称号。</w:t>
      </w:r>
    </w:p>
    <w:p w14:paraId="331670C3">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C9274098-28C2-4F31-9EA8-CF053A817746}"/>
  </w:font>
  <w:font w:name="仿宋">
    <w:panose1 w:val="02010609060101010101"/>
    <w:charset w:val="86"/>
    <w:family w:val="modern"/>
    <w:pitch w:val="default"/>
    <w:sig w:usb0="800002BF" w:usb1="38CF7CFA" w:usb2="00000016" w:usb3="00000000" w:csb0="00040001" w:csb1="00000000"/>
    <w:embedRegular r:id="rId2" w:fontKey="{63C029B8-91BB-45D3-8FF1-81D4CDB6E94B}"/>
  </w:font>
  <w:font w:name="方正小标宋简体">
    <w:panose1 w:val="02000000000000000000"/>
    <w:charset w:val="86"/>
    <w:family w:val="script"/>
    <w:pitch w:val="default"/>
    <w:sig w:usb0="00000001" w:usb1="08000000" w:usb2="00000000" w:usb3="00000000" w:csb0="00040000" w:csb1="00000000"/>
    <w:embedRegular r:id="rId3" w:fontKey="{394BA418-E72C-4BEC-AFC3-5D4A0C455956}"/>
  </w:font>
  <w:font w:name="仿宋_GB2312">
    <w:altName w:val="仿宋"/>
    <w:panose1 w:val="00000000000000000000"/>
    <w:charset w:val="86"/>
    <w:family w:val="modern"/>
    <w:pitch w:val="default"/>
    <w:sig w:usb0="00000000" w:usb1="00000000" w:usb2="00000000" w:usb3="00000000" w:csb0="00040000" w:csb1="00000000"/>
    <w:embedRegular r:id="rId4" w:fontKey="{F28BE937-3BA4-408A-8349-2C00747BE1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FD144">
    <w:pPr>
      <w:pStyle w:val="3"/>
      <w:spacing w:before="120" w:after="120"/>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4FF9F05">
                          <w:pPr>
                            <w:pStyle w:val="3"/>
                          </w:pPr>
                          <w:r>
                            <w:fldChar w:fldCharType="begin"/>
                          </w:r>
                          <w:r>
                            <w:instrText xml:space="preserve"> PAGE  \* MERGEFORMAT </w:instrText>
                          </w:r>
                          <w:r>
                            <w:fldChar w:fldCharType="separate"/>
                          </w:r>
                          <w:r>
                            <w:t>- 1 -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path/>
              <v:fill on="f" focussize="0,0"/>
              <v:stroke on="f" weight="0.5pt" joinstyle="miter"/>
              <v:imagedata o:title=""/>
              <o:lock v:ext="edit"/>
              <v:textbox inset="0mm,0mm,0mm,0mm" style="mso-fit-shape-to-text:t;">
                <w:txbxContent>
                  <w:p w14:paraId="24FF9F05">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595CAC"/>
    <w:rsid w:val="0AA83C9F"/>
    <w:rsid w:val="52595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99"/>
    <w:pPr>
      <w:tabs>
        <w:tab w:val="left" w:pos="709"/>
      </w:tabs>
      <w:spacing w:before="240" w:after="60"/>
      <w:ind w:firstLine="640" w:firstLineChars="200"/>
      <w:outlineLvl w:val="0"/>
    </w:pPr>
    <w:rPr>
      <w:rFonts w:ascii="仿宋" w:hAnsi="仿宋" w:eastAsia="仿宋" w:cs="方正小标宋简体"/>
      <w:bCs/>
      <w:color w:val="000000"/>
      <w:kern w:val="0"/>
      <w:sz w:val="32"/>
      <w:szCs w:val="32"/>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qFormat/>
    <w:uiPriority w:val="99"/>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2025-07-11T01:27:00Z</dcterms:created>
  <dc:creator>信息股</dc:creator>
  <cp:lastModifiedBy>信息股</cp:lastModifiedBy>
  <dcterms:modified xsi:type="dcterms:W3CDTF">2025-07-11T01:27:50Z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6D7A8BCD8BEE42969EA2FB680D617CE0_11</vt:lpwstr>
  </property>
  <property fmtid="{D5CDD505-2E9C-101B-9397-08002B2CF9AE}" pid="4" name="KSOTemplateDocerSaveRecord">
    <vt:lpwstr>eyJoZGlkIjoiNGE3ZTkzM2NiMjdjZDQ1YjA1MTg3MjRkMDQxYTE2MGEiLCJ1c2VySWQiOiIzODU2NzgxNTIifQ==</vt:lpwstr>
  </property>
</Properties>
</file>