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1923">
      <w:pPr>
        <w:widowControl/>
        <w:tabs>
          <w:tab w:val="left" w:pos="3513"/>
          <w:tab w:val="center" w:pos="4393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 件</w:t>
      </w:r>
    </w:p>
    <w:tbl>
      <w:tblPr>
        <w:tblStyle w:val="4"/>
        <w:tblW w:w="13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29"/>
        <w:gridCol w:w="5200"/>
        <w:gridCol w:w="1489"/>
        <w:gridCol w:w="1136"/>
        <w:gridCol w:w="3554"/>
      </w:tblGrid>
      <w:tr w14:paraId="121C7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68" w:type="dxa"/>
            <w:gridSpan w:val="6"/>
            <w:noWrap/>
            <w:vAlign w:val="center"/>
          </w:tcPr>
          <w:p w14:paraId="500CC0B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洛阳师范学院202</w:t>
            </w:r>
            <w:r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年公开招聘工作人员一览表</w:t>
            </w:r>
          </w:p>
        </w:tc>
      </w:tr>
      <w:tr w14:paraId="2B4B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noWrap/>
            <w:vAlign w:val="center"/>
          </w:tcPr>
          <w:p w14:paraId="0510A4DF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trike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29" w:type="dxa"/>
            <w:noWrap w:val="0"/>
            <w:vAlign w:val="center"/>
          </w:tcPr>
          <w:p w14:paraId="4DDF5D0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color w:val="auto"/>
                <w:lang w:bidi="ar"/>
              </w:rPr>
              <w:t>聘用岗位</w:t>
            </w:r>
          </w:p>
        </w:tc>
        <w:tc>
          <w:tcPr>
            <w:tcW w:w="5200" w:type="dxa"/>
            <w:noWrap w:val="0"/>
            <w:vAlign w:val="center"/>
          </w:tcPr>
          <w:p w14:paraId="6714DC97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color w:val="auto"/>
                <w:lang w:bidi="ar"/>
              </w:rPr>
              <w:t>招聘学科（专业）</w:t>
            </w:r>
          </w:p>
        </w:tc>
        <w:tc>
          <w:tcPr>
            <w:tcW w:w="1489" w:type="dxa"/>
            <w:noWrap w:val="0"/>
            <w:vAlign w:val="center"/>
          </w:tcPr>
          <w:p w14:paraId="4A573C8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Style w:val="7"/>
                <w:rFonts w:hint="default" w:ascii="Times New Roman" w:cs="Times New Roman"/>
                <w:color w:val="auto"/>
                <w:lang w:bidi="ar"/>
              </w:rPr>
              <w:t>学历学位</w:t>
            </w:r>
          </w:p>
        </w:tc>
        <w:tc>
          <w:tcPr>
            <w:tcW w:w="1136" w:type="dxa"/>
            <w:noWrap w:val="0"/>
            <w:vAlign w:val="center"/>
          </w:tcPr>
          <w:p w14:paraId="11F3C953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3554" w:type="dxa"/>
            <w:noWrap w:val="0"/>
            <w:vAlign w:val="center"/>
          </w:tcPr>
          <w:p w14:paraId="1B2873A9">
            <w:pPr>
              <w:widowControl/>
              <w:jc w:val="center"/>
              <w:textAlignment w:val="center"/>
              <w:rPr>
                <w:rFonts w:hint="eastAsia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 w14:paraId="254BA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0" w:type="dxa"/>
            <w:noWrap/>
            <w:vAlign w:val="center"/>
          </w:tcPr>
          <w:p w14:paraId="619F615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9" w:type="dxa"/>
            <w:noWrap/>
            <w:vAlign w:val="center"/>
          </w:tcPr>
          <w:p w14:paraId="4E2825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教学科研</w:t>
            </w:r>
          </w:p>
        </w:tc>
        <w:tc>
          <w:tcPr>
            <w:tcW w:w="5200" w:type="dxa"/>
            <w:noWrap w:val="0"/>
            <w:vAlign w:val="center"/>
          </w:tcPr>
          <w:p w14:paraId="3E31FC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（0811）控制科学与工程</w:t>
            </w:r>
          </w:p>
        </w:tc>
        <w:tc>
          <w:tcPr>
            <w:tcW w:w="1489" w:type="dxa"/>
            <w:noWrap w:val="0"/>
            <w:vAlign w:val="center"/>
          </w:tcPr>
          <w:p w14:paraId="3B924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0E64C81C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3554" w:type="dxa"/>
            <w:noWrap w:val="0"/>
            <w:vAlign w:val="center"/>
          </w:tcPr>
          <w:p w14:paraId="71B636F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D05D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0" w:type="dxa"/>
            <w:noWrap/>
            <w:vAlign w:val="center"/>
          </w:tcPr>
          <w:p w14:paraId="0BB1061C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29" w:type="dxa"/>
            <w:noWrap w:val="0"/>
            <w:vAlign w:val="center"/>
          </w:tcPr>
          <w:p w14:paraId="5056AF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教学科研</w:t>
            </w:r>
          </w:p>
        </w:tc>
        <w:tc>
          <w:tcPr>
            <w:tcW w:w="5200" w:type="dxa"/>
            <w:noWrap w:val="0"/>
            <w:vAlign w:val="center"/>
          </w:tcPr>
          <w:p w14:paraId="2D7AF56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（0401）教育学（学前教育学）</w:t>
            </w:r>
          </w:p>
          <w:p w14:paraId="3127CF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（0451）教育（学前教育）</w:t>
            </w:r>
          </w:p>
        </w:tc>
        <w:tc>
          <w:tcPr>
            <w:tcW w:w="1489" w:type="dxa"/>
            <w:noWrap w:val="0"/>
            <w:vAlign w:val="center"/>
          </w:tcPr>
          <w:p w14:paraId="3B99C8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57C4B489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3554" w:type="dxa"/>
            <w:noWrap w:val="0"/>
            <w:vAlign w:val="center"/>
          </w:tcPr>
          <w:p w14:paraId="007CB0FE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6D34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0" w:type="dxa"/>
            <w:noWrap/>
            <w:vAlign w:val="center"/>
          </w:tcPr>
          <w:p w14:paraId="55496948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29" w:type="dxa"/>
            <w:noWrap w:val="0"/>
            <w:vAlign w:val="center"/>
          </w:tcPr>
          <w:p w14:paraId="786A5F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教学科研</w:t>
            </w:r>
          </w:p>
        </w:tc>
        <w:tc>
          <w:tcPr>
            <w:tcW w:w="5200" w:type="dxa"/>
            <w:noWrap w:val="0"/>
            <w:vAlign w:val="center"/>
          </w:tcPr>
          <w:p w14:paraId="3A5D8C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（1354）戏剧与影视</w:t>
            </w:r>
          </w:p>
        </w:tc>
        <w:tc>
          <w:tcPr>
            <w:tcW w:w="1489" w:type="dxa"/>
            <w:noWrap w:val="0"/>
            <w:vAlign w:val="center"/>
          </w:tcPr>
          <w:p w14:paraId="3F486C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3F1236F0">
            <w:pPr>
              <w:widowControl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3554" w:type="dxa"/>
            <w:noWrap w:val="0"/>
            <w:vAlign w:val="center"/>
          </w:tcPr>
          <w:p w14:paraId="3B351109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755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noWrap/>
            <w:vAlign w:val="center"/>
          </w:tcPr>
          <w:p w14:paraId="3C25C5EF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29" w:type="dxa"/>
            <w:noWrap w:val="0"/>
            <w:vAlign w:val="center"/>
          </w:tcPr>
          <w:p w14:paraId="50C97B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教学科研</w:t>
            </w:r>
          </w:p>
        </w:tc>
        <w:tc>
          <w:tcPr>
            <w:tcW w:w="5200" w:type="dxa"/>
            <w:noWrap w:val="0"/>
            <w:vAlign w:val="center"/>
          </w:tcPr>
          <w:p w14:paraId="3328FAC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（0402）心理学</w:t>
            </w:r>
          </w:p>
        </w:tc>
        <w:tc>
          <w:tcPr>
            <w:tcW w:w="1489" w:type="dxa"/>
            <w:noWrap w:val="0"/>
            <w:vAlign w:val="center"/>
          </w:tcPr>
          <w:p w14:paraId="53554A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6B805731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1</w:t>
            </w:r>
          </w:p>
        </w:tc>
        <w:tc>
          <w:tcPr>
            <w:tcW w:w="3554" w:type="dxa"/>
            <w:noWrap w:val="0"/>
            <w:vAlign w:val="center"/>
          </w:tcPr>
          <w:p w14:paraId="3655B997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D640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60" w:type="dxa"/>
            <w:vMerge w:val="restart"/>
            <w:noWrap/>
            <w:vAlign w:val="center"/>
          </w:tcPr>
          <w:p w14:paraId="4703334D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29" w:type="dxa"/>
            <w:vMerge w:val="restart"/>
            <w:noWrap w:val="0"/>
            <w:vAlign w:val="center"/>
          </w:tcPr>
          <w:p w14:paraId="1D6090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教学科研</w:t>
            </w:r>
          </w:p>
        </w:tc>
        <w:tc>
          <w:tcPr>
            <w:tcW w:w="5200" w:type="dxa"/>
            <w:vMerge w:val="restart"/>
            <w:noWrap w:val="0"/>
            <w:vAlign w:val="center"/>
          </w:tcPr>
          <w:p w14:paraId="6E41751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（0452）体育（</w:t>
            </w:r>
            <w:bookmarkStart w:id="0" w:name="OLE_LINK13"/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体育教学</w:t>
            </w:r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）</w:t>
            </w:r>
          </w:p>
          <w:p w14:paraId="332130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（0403）体育学（体育教育训练学）</w:t>
            </w:r>
          </w:p>
        </w:tc>
        <w:tc>
          <w:tcPr>
            <w:tcW w:w="1489" w:type="dxa"/>
            <w:vMerge w:val="restart"/>
            <w:noWrap w:val="0"/>
            <w:vAlign w:val="center"/>
          </w:tcPr>
          <w:p w14:paraId="7A7E55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noWrap w:val="0"/>
            <w:vAlign w:val="center"/>
          </w:tcPr>
          <w:p w14:paraId="6DC60508">
            <w:pPr>
              <w:widowControl/>
              <w:jc w:val="center"/>
              <w:textAlignment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1</w:t>
            </w:r>
          </w:p>
        </w:tc>
        <w:tc>
          <w:tcPr>
            <w:tcW w:w="3554" w:type="dxa"/>
            <w:tcBorders>
              <w:bottom w:val="single" w:color="auto" w:sz="4" w:space="0"/>
            </w:tcBorders>
            <w:noWrap w:val="0"/>
            <w:vAlign w:val="center"/>
          </w:tcPr>
          <w:p w14:paraId="47F6E9AC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能从事体育专业理论教学</w:t>
            </w:r>
          </w:p>
        </w:tc>
      </w:tr>
      <w:tr w14:paraId="5751E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 w14:paraId="39D67801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bidi="ar"/>
              </w:rPr>
            </w:pPr>
            <w:bookmarkStart w:id="1" w:name="_Hlk205307419"/>
            <w:bookmarkStart w:id="2" w:name="OLE_LINK6" w:colFirst="5" w:colLast="69"/>
            <w:bookmarkStart w:id="3" w:name="OLE_LINK7" w:colFirst="5" w:colLast="69"/>
          </w:p>
        </w:tc>
        <w:tc>
          <w:tcPr>
            <w:tcW w:w="1429" w:type="dxa"/>
            <w:vMerge w:val="continue"/>
            <w:noWrap w:val="0"/>
            <w:vAlign w:val="center"/>
          </w:tcPr>
          <w:p w14:paraId="3141B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200" w:type="dxa"/>
            <w:vMerge w:val="continue"/>
            <w:noWrap w:val="0"/>
            <w:vAlign w:val="center"/>
          </w:tcPr>
          <w:p w14:paraId="10350DA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56B351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noWrap w:val="0"/>
            <w:vAlign w:val="center"/>
          </w:tcPr>
          <w:p w14:paraId="335E9C50">
            <w:pPr>
              <w:widowControl/>
              <w:jc w:val="center"/>
              <w:textAlignment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1</w:t>
            </w:r>
          </w:p>
        </w:tc>
        <w:tc>
          <w:tcPr>
            <w:tcW w:w="3554" w:type="dxa"/>
            <w:tcBorders>
              <w:top w:val="single" w:color="auto" w:sz="4" w:space="0"/>
            </w:tcBorders>
            <w:noWrap w:val="0"/>
            <w:vAlign w:val="center"/>
          </w:tcPr>
          <w:p w14:paraId="581AF15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羽毛球、田径、武术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方向国家二级及以上运动技术等级获得者</w:t>
            </w:r>
          </w:p>
        </w:tc>
      </w:tr>
      <w:tr w14:paraId="27FC8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noWrap/>
            <w:vAlign w:val="center"/>
          </w:tcPr>
          <w:p w14:paraId="61207FC2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29" w:type="dxa"/>
            <w:noWrap w:val="0"/>
            <w:vAlign w:val="center"/>
          </w:tcPr>
          <w:p w14:paraId="5111A6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bookmarkStart w:id="4" w:name="OLE_LINK2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教学科研</w:t>
            </w:r>
            <w:bookmarkEnd w:id="4"/>
          </w:p>
        </w:tc>
        <w:tc>
          <w:tcPr>
            <w:tcW w:w="5200" w:type="dxa"/>
            <w:noWrap w:val="0"/>
            <w:vAlign w:val="center"/>
          </w:tcPr>
          <w:p w14:paraId="4BD498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（0305）马克思主义理论</w:t>
            </w:r>
          </w:p>
        </w:tc>
        <w:tc>
          <w:tcPr>
            <w:tcW w:w="1489" w:type="dxa"/>
            <w:noWrap w:val="0"/>
            <w:vAlign w:val="center"/>
          </w:tcPr>
          <w:p w14:paraId="7A411C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75F4C26D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3554" w:type="dxa"/>
            <w:noWrap w:val="0"/>
            <w:vAlign w:val="center"/>
          </w:tcPr>
          <w:p w14:paraId="412F20FF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中共党员（含预备党员）</w:t>
            </w:r>
          </w:p>
        </w:tc>
      </w:tr>
      <w:bookmarkEnd w:id="1"/>
      <w:bookmarkEnd w:id="2"/>
      <w:bookmarkEnd w:id="3"/>
      <w:tr w14:paraId="548AD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noWrap/>
            <w:vAlign w:val="center"/>
          </w:tcPr>
          <w:p w14:paraId="5706392B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29" w:type="dxa"/>
            <w:noWrap/>
            <w:vAlign w:val="center"/>
          </w:tcPr>
          <w:p w14:paraId="5B17D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教学科研</w:t>
            </w:r>
          </w:p>
        </w:tc>
        <w:tc>
          <w:tcPr>
            <w:tcW w:w="5200" w:type="dxa"/>
            <w:noWrap w:val="0"/>
            <w:vAlign w:val="center"/>
          </w:tcPr>
          <w:p w14:paraId="4A04C7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（0812）计算机科学与技术</w:t>
            </w:r>
          </w:p>
        </w:tc>
        <w:tc>
          <w:tcPr>
            <w:tcW w:w="1489" w:type="dxa"/>
            <w:noWrap w:val="0"/>
            <w:vAlign w:val="center"/>
          </w:tcPr>
          <w:p w14:paraId="19FCC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14D8018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54" w:type="dxa"/>
            <w:noWrap w:val="0"/>
            <w:vAlign w:val="center"/>
          </w:tcPr>
          <w:p w14:paraId="023CE89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1498F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60" w:type="dxa"/>
            <w:noWrap/>
            <w:vAlign w:val="center"/>
          </w:tcPr>
          <w:p w14:paraId="7C973DCA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29" w:type="dxa"/>
            <w:noWrap/>
            <w:vAlign w:val="center"/>
          </w:tcPr>
          <w:p w14:paraId="56AFA0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教学辅助</w:t>
            </w:r>
          </w:p>
        </w:tc>
        <w:tc>
          <w:tcPr>
            <w:tcW w:w="5200" w:type="dxa"/>
            <w:noWrap w:val="0"/>
            <w:vAlign w:val="center"/>
          </w:tcPr>
          <w:p w14:paraId="1413EE63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（0451）教育、（0503）新闻传播学、（0552）新闻与传播、（0702）物理学、（0812）计算机科学与技术、（1201）管理科学与工程、（1202）工商管理学（会计学）、（1256）工程管理</w:t>
            </w:r>
          </w:p>
        </w:tc>
        <w:tc>
          <w:tcPr>
            <w:tcW w:w="1489" w:type="dxa"/>
            <w:noWrap w:val="0"/>
            <w:vAlign w:val="center"/>
          </w:tcPr>
          <w:p w14:paraId="676C91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477DDA5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54" w:type="dxa"/>
            <w:noWrap w:val="0"/>
            <w:vAlign w:val="center"/>
          </w:tcPr>
          <w:p w14:paraId="0982BC5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5384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60" w:type="dxa"/>
            <w:noWrap/>
            <w:vAlign w:val="center"/>
          </w:tcPr>
          <w:p w14:paraId="15D6F479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9</w:t>
            </w:r>
          </w:p>
        </w:tc>
        <w:tc>
          <w:tcPr>
            <w:tcW w:w="1429" w:type="dxa"/>
            <w:noWrap/>
            <w:vAlign w:val="center"/>
          </w:tcPr>
          <w:p w14:paraId="5C1E70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辅导员</w:t>
            </w:r>
          </w:p>
        </w:tc>
        <w:tc>
          <w:tcPr>
            <w:tcW w:w="5200" w:type="dxa"/>
            <w:noWrap/>
            <w:vAlign w:val="center"/>
          </w:tcPr>
          <w:p w14:paraId="1DCBD7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专业不限</w:t>
            </w:r>
          </w:p>
        </w:tc>
        <w:tc>
          <w:tcPr>
            <w:tcW w:w="1489" w:type="dxa"/>
            <w:noWrap w:val="0"/>
            <w:vAlign w:val="center"/>
          </w:tcPr>
          <w:p w14:paraId="0889CA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136" w:type="dxa"/>
            <w:noWrap/>
            <w:vAlign w:val="center"/>
          </w:tcPr>
          <w:p w14:paraId="4F2946B9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16</w:t>
            </w:r>
          </w:p>
        </w:tc>
        <w:tc>
          <w:tcPr>
            <w:tcW w:w="3554" w:type="dxa"/>
            <w:noWrap w:val="0"/>
            <w:vAlign w:val="center"/>
          </w:tcPr>
          <w:p w14:paraId="6D6FD3A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bookmarkStart w:id="5" w:name="OLE_LINK3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中共党员(含预备党员）；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2.本科或研究生期间曾担任过学生干部；</w:t>
            </w:r>
          </w:p>
          <w:p w14:paraId="647512A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3.入住学生公寓。</w:t>
            </w:r>
            <w:bookmarkEnd w:id="5"/>
          </w:p>
        </w:tc>
      </w:tr>
      <w:tr w14:paraId="13FC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78" w:type="dxa"/>
            <w:gridSpan w:val="4"/>
            <w:noWrap/>
            <w:vAlign w:val="center"/>
          </w:tcPr>
          <w:p w14:paraId="7A1AF7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36" w:type="dxa"/>
            <w:noWrap/>
            <w:vAlign w:val="center"/>
          </w:tcPr>
          <w:p w14:paraId="63EC6108">
            <w:pPr>
              <w:widowControl/>
              <w:jc w:val="center"/>
              <w:textAlignment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554" w:type="dxa"/>
            <w:noWrap w:val="0"/>
            <w:vAlign w:val="center"/>
          </w:tcPr>
          <w:p w14:paraId="36390079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7CD446E9">
      <w:pPr>
        <w:snapToGrid w:val="0"/>
        <w:spacing w:line="520" w:lineRule="exact"/>
        <w:rPr>
          <w:rFonts w:hint="eastAsia" w:ascii="仿宋_GB2312" w:hAnsi="仿宋_GB2312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" w:cs="仿宋_GB2312"/>
          <w:sz w:val="28"/>
          <w:szCs w:val="28"/>
        </w:rPr>
        <w:t>注：</w:t>
      </w:r>
      <w:r>
        <w:rPr>
          <w:rFonts w:ascii="仿宋_GB2312" w:hAnsi="仿宋_GB2312" w:eastAsia="仿宋" w:cs="仿宋_GB2312"/>
          <w:sz w:val="28"/>
          <w:szCs w:val="28"/>
        </w:rPr>
        <w:t>学科专业要求以国务院学位委员会、教育部印发的《研究生教育学科专业目录（2022年）》为准</w:t>
      </w:r>
      <w:r>
        <w:rPr>
          <w:rFonts w:hint="eastAsia" w:ascii="仿宋_GB2312" w:hAnsi="仿宋_GB2312" w:eastAsia="仿宋" w:cs="仿宋_GB2312"/>
          <w:sz w:val="28"/>
          <w:szCs w:val="28"/>
        </w:rPr>
        <w:t>，</w:t>
      </w:r>
      <w:r>
        <w:rPr>
          <w:rFonts w:hint="eastAsia" w:ascii="仿宋_GB2312" w:hAnsi="仿宋_GB2312" w:eastAsia="仿宋" w:cs="仿宋_GB2312"/>
          <w:color w:val="auto"/>
          <w:sz w:val="28"/>
          <w:szCs w:val="28"/>
        </w:rPr>
        <w:t>学科括号内的专业方向仅为招聘岗位条件要求，不作为资格审核依据。</w:t>
      </w:r>
    </w:p>
    <w:p w14:paraId="44D6BF93">
      <w:pPr>
        <w:widowControl/>
        <w:tabs>
          <w:tab w:val="left" w:pos="3513"/>
          <w:tab w:val="center" w:pos="4393"/>
        </w:tabs>
        <w:rPr>
          <w:rFonts w:hint="eastAsia" w:ascii="黑体" w:hAnsi="黑体" w:eastAsia="黑体" w:cs="黑体"/>
          <w:sz w:val="32"/>
          <w:szCs w:val="32"/>
        </w:rPr>
      </w:pPr>
    </w:p>
    <w:p w14:paraId="37CD3D42">
      <w:bookmarkStart w:id="6" w:name="_GoBack"/>
      <w:bookmarkEnd w:id="6"/>
    </w:p>
    <w:sectPr>
      <w:pgSz w:w="16838" w:h="11906" w:orient="landscape"/>
      <w:pgMar w:top="1531" w:right="2041" w:bottom="1474" w:left="187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4536A"/>
    <w:multiLevelType w:val="singleLevel"/>
    <w:tmpl w:val="0EF453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227D"/>
    <w:rsid w:val="31E0227D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font41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2025-08-21T09:24:00Z</dcterms:created>
  <dc:creator>四驱小蜗牛</dc:creator>
  <cp:lastModifiedBy>四驱小蜗牛</cp:lastModifiedBy>
  <dcterms:modified xsi:type="dcterms:W3CDTF">2025-08-21T09:25:05Z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B4555E3E3A4444648817D1AD25B16F4F_11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