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A653D">
      <w:pPr>
        <w:rPr>
          <w:rFonts w:ascii="仿宋" w:hAnsi="仿宋" w:eastAsia="仿宋" w:cs="仿宋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:</w:t>
      </w:r>
    </w:p>
    <w:p w14:paraId="0B5413B6">
      <w:pPr>
        <w:pStyle w:val="2"/>
        <w:spacing w:before="0" w:beforeAutospacing="0" w:after="0" w:afterAutospacing="0" w:line="560" w:lineRule="exact"/>
        <w:ind w:firstLine="320" w:firstLineChars="100"/>
        <w:jc w:val="center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北师大余姚实验学校2025年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季学期</w:t>
      </w:r>
    </w:p>
    <w:p w14:paraId="3B9390DF">
      <w:pPr>
        <w:pStyle w:val="2"/>
        <w:spacing w:before="0" w:beforeAutospacing="0" w:after="0" w:afterAutospacing="0" w:line="560" w:lineRule="exact"/>
        <w:ind w:firstLine="320" w:firstLineChars="100"/>
        <w:jc w:val="center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教师招聘岗位一览表</w:t>
      </w:r>
    </w:p>
    <w:bookmarkEnd w:id="0"/>
    <w:p w14:paraId="70265977">
      <w:pPr>
        <w:pStyle w:val="2"/>
        <w:spacing w:before="0" w:beforeAutospacing="0" w:after="0" w:afterAutospacing="0" w:line="560" w:lineRule="exact"/>
        <w:ind w:firstLine="240" w:firstLineChars="100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(参考目录《普通高等学校本科专业目录》《研究生教育学科专业目录》)</w:t>
      </w:r>
    </w:p>
    <w:tbl>
      <w:tblPr>
        <w:tblStyle w:val="3"/>
        <w:tblW w:w="827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230"/>
        <w:gridCol w:w="3825"/>
        <w:gridCol w:w="1168"/>
      </w:tblGrid>
      <w:tr w14:paraId="6D06FCA2">
        <w:trPr>
          <w:trHeight w:val="622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772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4E8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招聘指标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3EC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32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7F9F8FAC">
        <w:trPr>
          <w:trHeight w:val="562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31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语文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定向一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F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E3DE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050101汉语言文学、050102汉语言、050103汉语国际教育、050106T应用语言学、050108T中国语言</w:t>
            </w:r>
            <w:r>
              <w:rPr>
                <w:rStyle w:val="5"/>
                <w:rFonts w:hint="eastAsia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与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文化</w:t>
            </w:r>
          </w:p>
          <w:p w14:paraId="0C1A49EF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74B69221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050105中国古代文学、050106中国现当代文学、050102语言学及应用语言学、040102课程与教学论（语文方向）、045103学科教学（语文方向）、050108比较文学与世界文学、0453汉语国际教育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2A43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及以上学历，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及以上学位</w:t>
            </w:r>
          </w:p>
        </w:tc>
      </w:tr>
      <w:tr w14:paraId="56EB8D1B">
        <w:trPr>
          <w:trHeight w:val="562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2D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语文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定向二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4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5813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050101汉语言文学、050102汉语言、050103汉语国际教育、050106T应用语言学、050108T中国语言</w:t>
            </w:r>
            <w:r>
              <w:rPr>
                <w:rStyle w:val="5"/>
                <w:rFonts w:hint="eastAsia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与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文化</w:t>
            </w:r>
          </w:p>
          <w:p w14:paraId="3C800779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14B36999"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050105中国古代文学、050106中国现当代文学、050102语言学及应用语言学、040102课程与教学论（语文方向）、045103学科教学（语文方向）、050108比较文学与世界文学、0453汉语国际教育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9944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  <w:tr w14:paraId="0F1AF2AC">
        <w:trPr>
          <w:trHeight w:val="2567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BC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数学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定向一</w:t>
            </w:r>
          </w:p>
          <w:p w14:paraId="1584E4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  <w:p w14:paraId="7CCB8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7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C188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070101数学与应用数学、070102信息与计算科学</w:t>
            </w:r>
            <w:r>
              <w:rPr>
                <w:rStyle w:val="5"/>
                <w:rFonts w:hint="eastAsia" w:eastAsia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070103T数理基础科学</w:t>
            </w:r>
          </w:p>
          <w:p w14:paraId="3D321D98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2F6C87B4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7201C995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040102课程与教学论（数学方向）、045104学科教学（数学方向）、070101基础数学、070102计算数学、070103概率论与数理统计、070104应用数学、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C454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及以上学历，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及以上学位</w:t>
            </w:r>
          </w:p>
        </w:tc>
      </w:tr>
      <w:tr w14:paraId="46F121A8">
        <w:trPr>
          <w:trHeight w:val="2567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D68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数学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定向二</w:t>
            </w:r>
          </w:p>
          <w:p w14:paraId="5D9785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  <w:p w14:paraId="00267C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01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F637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070101数学与应用数学、070102信息与计算科学</w:t>
            </w:r>
            <w:r>
              <w:rPr>
                <w:rStyle w:val="5"/>
                <w:rFonts w:hint="eastAsia" w:eastAsia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070103T数理基础科学</w:t>
            </w:r>
          </w:p>
          <w:p w14:paraId="5348CC90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712C4343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0D5D01E3"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040102课程与教学论（数学方向）、045104学科教学（数学方向）、070101基础数学、070102计算数学、070103概率论与数理统计、070104应用数学、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3AF0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  <w:tr w14:paraId="53D1455E">
        <w:trPr>
          <w:trHeight w:val="1908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2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英语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定向一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D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0E34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yellow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050201英语、050261翻译（英语方向）</w:t>
            </w:r>
          </w:p>
          <w:p w14:paraId="17E8F991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0300E030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040102课程与教学论（英语方向）、045108学科教学（英语方向）、050201英语语言文学、050211外国语言学及应用语言学（英语方向）、050261翻译（英语方向）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2EC9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及以上学历，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及以上学位</w:t>
            </w:r>
          </w:p>
        </w:tc>
      </w:tr>
      <w:tr w14:paraId="3D5D4885">
        <w:trPr>
          <w:trHeight w:val="1908" w:hRule="atLeast"/>
        </w:trPr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13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英语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定向二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D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2901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yellow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050201英语、050261翻译（英语方向）</w:t>
            </w:r>
          </w:p>
          <w:p w14:paraId="7C32137B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43478FE2"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040102课程与教学论（英语方向）、045108学科教学（英语方向）、050201英语语言文学、050211外国语言学及应用语言学（英语方向）、050261翻译（英语方向）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0FB8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  <w:tr w14:paraId="62DF2DDE">
        <w:trPr>
          <w:trHeight w:val="2693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C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科学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定向一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B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2F81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040102科学教育、070201物理学、070202应用物理学、070301化学、070302应用化学、071001生物科学、071002生物技术、070303T化学生物学、070501地理科学、070504地理信息科学</w:t>
            </w:r>
          </w:p>
          <w:p w14:paraId="3610AF53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2A5FB93C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070301无机化学、070302分析化学、070303有机化学、070304物理化学、040102课程与教学论（物理、化学、生物、地理方向）、045105学科教学（物理）、045106学科教学（化学）、045107学科教学（生物）、045110学科教学（地理）、070201理论物理、071011生物物理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7964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及以上学历，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及以上学位</w:t>
            </w:r>
          </w:p>
        </w:tc>
      </w:tr>
      <w:tr w14:paraId="7C069996">
        <w:trPr>
          <w:trHeight w:val="2693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7C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科学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定向二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2E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708F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040102科学教育、070201物理学、070202应用物理学、070301化学、070302应用化学、071001生物科学、071002生物技术、070303T化学生物学、070501地理科学、070504地理信息科学</w:t>
            </w:r>
          </w:p>
          <w:p w14:paraId="51BC3071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3CCE3986"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070301无机化学、070302分析化学、070303有机化学、070304物理化学、040102课程与教学论（物理、化学、生物、地理方向）、045105学科教学（物理）、045106学科教学（化学）、045107学科教学（生物）、045110学科教学（地理）、070201理论物理、071011生物物理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98F3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  <w:tr w14:paraId="2A7B093E">
        <w:trPr>
          <w:trHeight w:val="2725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BAAA"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体育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35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B421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eastAsia" w:eastAsia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045112学科教学（体育）</w:t>
            </w:r>
            <w:r>
              <w:rPr>
                <w:rStyle w:val="5"/>
                <w:rFonts w:hint="eastAsia" w:eastAsia="仿宋"/>
                <w:color w:val="auto"/>
                <w:sz w:val="21"/>
                <w:szCs w:val="21"/>
                <w:highlight w:val="none"/>
                <w:lang w:eastAsia="zh-CN"/>
              </w:rPr>
              <w:t>、040201体育教育、040202K运动训练、040203社会体育指导与管理、040204K武术与民族传统体育、040205运动人体科学</w:t>
            </w:r>
          </w:p>
          <w:p w14:paraId="1CF21007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 w14:paraId="7F4A66CD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eastAsia" w:eastAsia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 w:eastAsia="仿宋"/>
                <w:color w:val="auto"/>
                <w:sz w:val="21"/>
                <w:szCs w:val="21"/>
                <w:highlight w:val="none"/>
                <w:lang w:eastAsia="zh-CN"/>
              </w:rPr>
              <w:t>040302运动人体科学</w:t>
            </w:r>
            <w:r>
              <w:rPr>
                <w:rStyle w:val="5"/>
                <w:rFonts w:hint="eastAsia" w:eastAsia="仿宋"/>
                <w:color w:val="auto"/>
                <w:sz w:val="21"/>
                <w:szCs w:val="21"/>
                <w:highlight w:val="none"/>
                <w:lang w:eastAsia="zh-CN"/>
              </w:rPr>
              <w:t>、040303体育教育训练学、040304民族传统体育学、045112学科教学（体育）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9687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</w:tbl>
    <w:p w14:paraId="700183BF">
      <w:p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75A15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AFEB3B"/>
    <w:rsid w:val="EFAFE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2025-09-15T22:20:00Z</dcterms:created>
  <dc:creator>ce乐~zZ</dc:creator>
  <cp:lastModifiedBy>ce乐~zZ</cp:lastModifiedBy>
  <dcterms:modified xsi:type="dcterms:W3CDTF">2025-09-15T22:21:19Z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855B9B3F53E8BA3D9220C868D3BA93D3_41</vt:lpwstr>
  </property>
</Properties>
</file>