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3C17AD">
      <w:pPr>
        <w:spacing w:line="380" w:lineRule="exact"/>
        <w:rPr>
          <w:rFonts w:hint="eastAsia" w:ascii="仿宋_GB2312" w:eastAsia="黑体"/>
          <w:sz w:val="28"/>
          <w:szCs w:val="28"/>
          <w:lang w:val="en-US" w:eastAsia="zh-CN"/>
        </w:rPr>
      </w:pPr>
      <w:r>
        <w:rPr>
          <w:rFonts w:hint="eastAsia" w:ascii="黑体" w:hAnsi="黑体" w:eastAsia="黑体" w:cs="黑体"/>
          <w:sz w:val="28"/>
          <w:szCs w:val="28"/>
        </w:rPr>
        <w:t>附件</w:t>
      </w:r>
      <w:r>
        <w:rPr>
          <w:rFonts w:hint="eastAsia" w:ascii="黑体" w:hAnsi="黑体" w:eastAsia="黑体" w:cs="黑体"/>
          <w:sz w:val="28"/>
          <w:szCs w:val="28"/>
          <w:lang w:val="en-US" w:eastAsia="zh-CN"/>
        </w:rPr>
        <w:t>2</w:t>
      </w:r>
    </w:p>
    <w:p w14:paraId="1865066A">
      <w:pPr>
        <w:spacing w:line="380" w:lineRule="exact"/>
        <w:jc w:val="center"/>
        <w:rPr>
          <w:rFonts w:hint="eastAsia" w:ascii="黑体" w:hAnsi="黑体" w:eastAsia="黑体" w:cs="黑体"/>
          <w:sz w:val="32"/>
          <w:szCs w:val="32"/>
        </w:rPr>
      </w:pPr>
      <w:r>
        <w:rPr>
          <w:rFonts w:hint="eastAsia" w:ascii="黑体" w:hAnsi="黑体" w:eastAsia="黑体" w:cs="黑体"/>
          <w:sz w:val="32"/>
          <w:szCs w:val="32"/>
        </w:rPr>
        <w:t>嵊州市普通高中学校招聘优秀高校毕业生</w:t>
      </w:r>
    </w:p>
    <w:p w14:paraId="76B3DDAE">
      <w:pPr>
        <w:spacing w:line="380" w:lineRule="exact"/>
        <w:jc w:val="center"/>
        <w:rPr>
          <w:rFonts w:hint="eastAsia" w:ascii="黑体" w:hAnsi="黑体" w:eastAsia="黑体" w:cs="黑体"/>
          <w:sz w:val="32"/>
          <w:szCs w:val="32"/>
        </w:rPr>
      </w:pPr>
      <w:r>
        <w:rPr>
          <w:rFonts w:hint="eastAsia" w:ascii="黑体" w:hAnsi="黑体" w:eastAsia="黑体" w:cs="黑体"/>
          <w:sz w:val="32"/>
          <w:szCs w:val="32"/>
        </w:rPr>
        <w:t>有关待遇一览表</w:t>
      </w:r>
    </w:p>
    <w:tbl>
      <w:tblPr>
        <w:tblStyle w:val="15"/>
        <w:tblW w:w="9638" w:type="dxa"/>
        <w:jc w:val="center"/>
        <w:tblLayout w:type="fixed"/>
        <w:tblCellMar>
          <w:top w:w="0" w:type="dxa"/>
          <w:left w:w="108" w:type="dxa"/>
          <w:bottom w:w="0" w:type="dxa"/>
          <w:right w:w="108" w:type="dxa"/>
        </w:tblCellMar>
      </w:tblPr>
      <w:tblGrid>
        <w:gridCol w:w="4667"/>
        <w:gridCol w:w="1506"/>
        <w:gridCol w:w="1959"/>
        <w:gridCol w:w="1506"/>
      </w:tblGrid>
      <w:tr w14:paraId="6993D44D">
        <w:tblPrEx>
          <w:tblCellMar>
            <w:top w:w="0" w:type="dxa"/>
            <w:left w:w="108" w:type="dxa"/>
            <w:bottom w:w="0" w:type="dxa"/>
            <w:right w:w="108" w:type="dxa"/>
          </w:tblCellMar>
        </w:tblPrEx>
        <w:trPr>
          <w:trHeight w:val="404" w:hRule="atLeast"/>
          <w:jc w:val="center"/>
        </w:trPr>
        <w:tc>
          <w:tcPr>
            <w:tcW w:w="4667" w:type="dxa"/>
            <w:tcBorders>
              <w:top w:val="single" w:color="000000" w:sz="4" w:space="0"/>
              <w:left w:val="single" w:color="000000" w:sz="4" w:space="0"/>
              <w:bottom w:val="single" w:color="000000" w:sz="4" w:space="0"/>
              <w:right w:val="single" w:color="000000" w:sz="4" w:space="0"/>
            </w:tcBorders>
            <w:noWrap/>
            <w:vAlign w:val="center"/>
          </w:tcPr>
          <w:p w14:paraId="6D4C5FDC">
            <w:pPr>
              <w:widowControl/>
              <w:spacing w:line="380" w:lineRule="exact"/>
              <w:jc w:val="center"/>
              <w:textAlignment w:val="center"/>
              <w:rPr>
                <w:rFonts w:hint="eastAsia" w:ascii="仿宋_GB2312" w:hAnsi="仿宋_GB2312" w:eastAsia="仿宋_GB2312" w:cs="仿宋_GB2312"/>
                <w:b/>
                <w:bCs/>
                <w:sz w:val="24"/>
              </w:rPr>
            </w:pPr>
            <w:r>
              <w:rPr>
                <w:rFonts w:hint="eastAsia" w:ascii="仿宋_GB2312" w:hAnsi="仿宋_GB2312" w:eastAsia="仿宋_GB2312" w:cs="仿宋_GB2312"/>
                <w:b/>
                <w:bCs/>
                <w:kern w:val="0"/>
                <w:sz w:val="24"/>
              </w:rPr>
              <w:t>人才类别</w:t>
            </w:r>
          </w:p>
        </w:tc>
        <w:tc>
          <w:tcPr>
            <w:tcW w:w="1506" w:type="dxa"/>
            <w:tcBorders>
              <w:top w:val="single" w:color="000000" w:sz="4" w:space="0"/>
              <w:left w:val="single" w:color="000000" w:sz="4" w:space="0"/>
              <w:bottom w:val="single" w:color="000000" w:sz="4" w:space="0"/>
              <w:right w:val="single" w:color="000000" w:sz="4" w:space="0"/>
            </w:tcBorders>
            <w:noWrap/>
            <w:vAlign w:val="center"/>
          </w:tcPr>
          <w:p w14:paraId="26065A4F">
            <w:pPr>
              <w:widowControl/>
              <w:spacing w:line="380" w:lineRule="exact"/>
              <w:jc w:val="center"/>
              <w:textAlignment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房票补贴</w:t>
            </w:r>
          </w:p>
        </w:tc>
        <w:tc>
          <w:tcPr>
            <w:tcW w:w="1959" w:type="dxa"/>
            <w:tcBorders>
              <w:top w:val="single" w:color="000000" w:sz="4" w:space="0"/>
              <w:left w:val="single" w:color="000000" w:sz="4" w:space="0"/>
              <w:bottom w:val="single" w:color="000000" w:sz="4" w:space="0"/>
              <w:right w:val="single" w:color="000000" w:sz="4" w:space="0"/>
            </w:tcBorders>
            <w:noWrap/>
            <w:vAlign w:val="center"/>
          </w:tcPr>
          <w:p w14:paraId="5CC34504">
            <w:pPr>
              <w:widowControl/>
              <w:spacing w:line="380" w:lineRule="exact"/>
              <w:jc w:val="center"/>
              <w:textAlignment w:val="cente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安家补贴</w:t>
            </w:r>
          </w:p>
        </w:tc>
        <w:tc>
          <w:tcPr>
            <w:tcW w:w="1506" w:type="dxa"/>
            <w:tcBorders>
              <w:top w:val="single" w:color="000000" w:sz="4" w:space="0"/>
              <w:left w:val="single" w:color="000000" w:sz="4" w:space="0"/>
              <w:bottom w:val="single" w:color="000000" w:sz="4" w:space="0"/>
              <w:right w:val="single" w:color="000000" w:sz="4" w:space="0"/>
            </w:tcBorders>
            <w:noWrap/>
            <w:vAlign w:val="center"/>
          </w:tcPr>
          <w:p w14:paraId="4A3B8CC2">
            <w:pPr>
              <w:widowControl/>
              <w:spacing w:line="380" w:lineRule="exact"/>
              <w:jc w:val="center"/>
              <w:textAlignment w:val="cente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人才奖励</w:t>
            </w:r>
          </w:p>
        </w:tc>
      </w:tr>
      <w:tr w14:paraId="292CAEC0">
        <w:tblPrEx>
          <w:tblCellMar>
            <w:top w:w="0" w:type="dxa"/>
            <w:left w:w="108" w:type="dxa"/>
            <w:bottom w:w="0" w:type="dxa"/>
            <w:right w:w="108" w:type="dxa"/>
          </w:tblCellMar>
        </w:tblPrEx>
        <w:trPr>
          <w:trHeight w:val="3023" w:hRule="atLeast"/>
          <w:jc w:val="center"/>
        </w:trPr>
        <w:tc>
          <w:tcPr>
            <w:tcW w:w="4667" w:type="dxa"/>
            <w:tcBorders>
              <w:top w:val="single" w:color="000000" w:sz="4" w:space="0"/>
              <w:left w:val="single" w:color="000000" w:sz="4" w:space="0"/>
              <w:bottom w:val="single" w:color="000000" w:sz="4" w:space="0"/>
              <w:right w:val="single" w:color="000000" w:sz="4" w:space="0"/>
            </w:tcBorders>
            <w:vAlign w:val="center"/>
          </w:tcPr>
          <w:p w14:paraId="67448867">
            <w:pPr>
              <w:widowControl/>
              <w:spacing w:line="38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val="en-US" w:eastAsia="zh-CN"/>
              </w:rPr>
              <w:t>1.</w:t>
            </w:r>
            <w:r>
              <w:rPr>
                <w:rFonts w:hint="eastAsia" w:ascii="仿宋_GB2312" w:hAnsi="仿宋_GB2312" w:eastAsia="仿宋_GB2312" w:cs="仿宋_GB2312"/>
                <w:kern w:val="0"/>
                <w:sz w:val="24"/>
              </w:rPr>
              <w:t>在浙江省参加高考，并被C9 联盟高校（除清华大学、北京大学外）、中国人民大学、北京师范大学、华东师范大学录取的本科及硕士研究生和浙江师范大学录取的硕士研究生（硕士毕业生，本科要求学校同上述学校；文理分科时为文科全省前200位、理科全省前600位，综合招生改革后的普通类前800位除外）。</w:t>
            </w:r>
          </w:p>
        </w:tc>
        <w:tc>
          <w:tcPr>
            <w:tcW w:w="1506" w:type="dxa"/>
            <w:tcBorders>
              <w:top w:val="single" w:color="000000" w:sz="4" w:space="0"/>
              <w:left w:val="single" w:color="000000" w:sz="4" w:space="0"/>
              <w:bottom w:val="single" w:color="000000" w:sz="4" w:space="0"/>
              <w:right w:val="single" w:color="000000" w:sz="4" w:space="0"/>
            </w:tcBorders>
            <w:vAlign w:val="center"/>
          </w:tcPr>
          <w:p w14:paraId="4B31CFFA">
            <w:pPr>
              <w:widowControl/>
              <w:spacing w:line="380" w:lineRule="exact"/>
              <w:jc w:val="center"/>
              <w:textAlignment w:val="center"/>
              <w:rPr>
                <w:rStyle w:val="35"/>
                <w:rFonts w:hint="eastAsia" w:ascii="仿宋_GB2312" w:hAnsi="仿宋_GB2312" w:eastAsia="仿宋_GB2312" w:cs="仿宋_GB2312"/>
                <w:color w:val="auto"/>
              </w:rPr>
            </w:pPr>
            <w:r>
              <w:rPr>
                <w:rStyle w:val="35"/>
                <w:rFonts w:hint="eastAsia" w:ascii="仿宋_GB2312" w:hAnsi="仿宋_GB2312" w:eastAsia="仿宋_GB2312" w:cs="仿宋_GB2312"/>
                <w:color w:val="auto"/>
              </w:rPr>
              <w:t>硕士</w:t>
            </w:r>
            <w:r>
              <w:rPr>
                <w:rStyle w:val="35"/>
                <w:rFonts w:ascii="仿宋_GB2312" w:hAnsi="仿宋_GB2312" w:eastAsia="仿宋_GB2312" w:cs="仿宋_GB2312"/>
                <w:color w:val="auto"/>
              </w:rPr>
              <w:t>15</w:t>
            </w:r>
            <w:r>
              <w:rPr>
                <w:rStyle w:val="35"/>
                <w:rFonts w:hint="eastAsia" w:ascii="仿宋_GB2312" w:hAnsi="仿宋_GB2312" w:eastAsia="仿宋_GB2312" w:cs="仿宋_GB2312"/>
                <w:color w:val="auto"/>
              </w:rPr>
              <w:t>万</w:t>
            </w:r>
          </w:p>
          <w:p w14:paraId="51048DA0">
            <w:pPr>
              <w:widowControl/>
              <w:spacing w:line="380" w:lineRule="exact"/>
              <w:jc w:val="center"/>
              <w:textAlignment w:val="center"/>
              <w:rPr>
                <w:rFonts w:hint="eastAsia" w:ascii="仿宋_GB2312" w:hAnsi="仿宋_GB2312" w:eastAsia="仿宋_GB2312" w:cs="仿宋_GB2312"/>
                <w:sz w:val="24"/>
              </w:rPr>
            </w:pPr>
            <w:r>
              <w:rPr>
                <w:rStyle w:val="35"/>
                <w:rFonts w:hint="eastAsia" w:ascii="仿宋_GB2312" w:hAnsi="仿宋_GB2312" w:eastAsia="仿宋_GB2312" w:cs="仿宋_GB2312"/>
                <w:color w:val="auto"/>
              </w:rPr>
              <w:t>本科</w:t>
            </w:r>
            <w:r>
              <w:rPr>
                <w:rStyle w:val="35"/>
                <w:rFonts w:ascii="仿宋_GB2312" w:hAnsi="仿宋_GB2312" w:eastAsia="仿宋_GB2312" w:cs="仿宋_GB2312"/>
                <w:color w:val="auto"/>
              </w:rPr>
              <w:t>10</w:t>
            </w:r>
            <w:r>
              <w:rPr>
                <w:rStyle w:val="35"/>
                <w:rFonts w:hint="eastAsia" w:ascii="仿宋_GB2312" w:hAnsi="仿宋_GB2312" w:eastAsia="仿宋_GB2312" w:cs="仿宋_GB2312"/>
                <w:color w:val="auto"/>
              </w:rPr>
              <w:t>万</w:t>
            </w:r>
          </w:p>
        </w:tc>
        <w:tc>
          <w:tcPr>
            <w:tcW w:w="1959" w:type="dxa"/>
            <w:tcBorders>
              <w:top w:val="single" w:color="000000" w:sz="4" w:space="0"/>
              <w:left w:val="single" w:color="000000" w:sz="4" w:space="0"/>
              <w:bottom w:val="single" w:color="000000" w:sz="4" w:space="0"/>
              <w:right w:val="single" w:color="000000" w:sz="4" w:space="0"/>
            </w:tcBorders>
            <w:vAlign w:val="center"/>
          </w:tcPr>
          <w:p w14:paraId="36BA0ADE">
            <w:pPr>
              <w:widowControl/>
              <w:spacing w:line="380" w:lineRule="exact"/>
              <w:jc w:val="center"/>
              <w:textAlignment w:val="center"/>
              <w:rPr>
                <w:rStyle w:val="35"/>
                <w:rFonts w:hint="eastAsia" w:ascii="仿宋_GB2312" w:hAnsi="仿宋_GB2312" w:eastAsia="仿宋_GB2312" w:cs="仿宋_GB2312"/>
                <w:color w:val="auto"/>
              </w:rPr>
            </w:pPr>
            <w:r>
              <w:rPr>
                <w:rStyle w:val="35"/>
                <w:rFonts w:hint="eastAsia" w:ascii="仿宋_GB2312" w:hAnsi="仿宋_GB2312" w:eastAsia="仿宋_GB2312" w:cs="仿宋_GB2312"/>
                <w:color w:val="auto"/>
              </w:rPr>
              <w:t>硕士10万</w:t>
            </w:r>
          </w:p>
          <w:p w14:paraId="1A3FB507">
            <w:pPr>
              <w:widowControl/>
              <w:spacing w:line="380" w:lineRule="exact"/>
              <w:jc w:val="center"/>
              <w:textAlignment w:val="center"/>
              <w:rPr>
                <w:rStyle w:val="35"/>
                <w:rFonts w:hint="eastAsia" w:ascii="仿宋_GB2312" w:hAnsi="仿宋_GB2312" w:eastAsia="仿宋_GB2312" w:cs="仿宋_GB2312"/>
                <w:color w:val="auto"/>
              </w:rPr>
            </w:pPr>
            <w:r>
              <w:rPr>
                <w:rStyle w:val="35"/>
                <w:rFonts w:hint="eastAsia" w:ascii="仿宋_GB2312" w:hAnsi="仿宋_GB2312" w:eastAsia="仿宋_GB2312" w:cs="仿宋_GB2312"/>
                <w:color w:val="auto"/>
              </w:rPr>
              <w:t>（其中浙师大硕士5万）</w:t>
            </w:r>
          </w:p>
        </w:tc>
        <w:tc>
          <w:tcPr>
            <w:tcW w:w="1506" w:type="dxa"/>
            <w:tcBorders>
              <w:top w:val="single" w:color="000000" w:sz="4" w:space="0"/>
              <w:left w:val="single" w:color="000000" w:sz="4" w:space="0"/>
              <w:bottom w:val="single" w:color="000000" w:sz="4" w:space="0"/>
              <w:right w:val="single" w:color="000000" w:sz="4" w:space="0"/>
            </w:tcBorders>
            <w:vAlign w:val="center"/>
          </w:tcPr>
          <w:p w14:paraId="191080DF">
            <w:pPr>
              <w:widowControl/>
              <w:spacing w:line="380" w:lineRule="exact"/>
              <w:jc w:val="center"/>
              <w:textAlignment w:val="center"/>
              <w:rPr>
                <w:rStyle w:val="35"/>
                <w:rFonts w:hint="eastAsia" w:ascii="仿宋_GB2312" w:hAnsi="仿宋_GB2312" w:eastAsia="仿宋_GB2312" w:cs="仿宋_GB2312"/>
                <w:color w:val="auto"/>
              </w:rPr>
            </w:pPr>
            <w:r>
              <w:rPr>
                <w:rStyle w:val="35"/>
                <w:rFonts w:ascii="仿宋_GB2312" w:hAnsi="仿宋_GB2312" w:eastAsia="仿宋_GB2312" w:cs="仿宋_GB2312"/>
                <w:color w:val="auto"/>
              </w:rPr>
              <w:t>5-10</w:t>
            </w:r>
            <w:r>
              <w:rPr>
                <w:rStyle w:val="35"/>
                <w:rFonts w:hint="eastAsia" w:ascii="仿宋_GB2312" w:hAnsi="仿宋_GB2312" w:eastAsia="仿宋_GB2312" w:cs="仿宋_GB2312"/>
                <w:color w:val="auto"/>
              </w:rPr>
              <w:t>万</w:t>
            </w:r>
            <w:r>
              <w:rPr>
                <w:rStyle w:val="35"/>
                <w:rFonts w:ascii="仿宋_GB2312" w:hAnsi="仿宋_GB2312" w:eastAsia="仿宋_GB2312" w:cs="仿宋_GB2312"/>
                <w:color w:val="auto"/>
              </w:rPr>
              <w:t>/</w:t>
            </w:r>
            <w:r>
              <w:rPr>
                <w:rStyle w:val="35"/>
                <w:rFonts w:hint="eastAsia" w:ascii="仿宋_GB2312" w:hAnsi="仿宋_GB2312" w:eastAsia="仿宋_GB2312" w:cs="仿宋_GB2312"/>
                <w:color w:val="auto"/>
              </w:rPr>
              <w:t>年</w:t>
            </w:r>
          </w:p>
        </w:tc>
      </w:tr>
      <w:tr w14:paraId="14B3316E">
        <w:tblPrEx>
          <w:tblCellMar>
            <w:top w:w="0" w:type="dxa"/>
            <w:left w:w="108" w:type="dxa"/>
            <w:bottom w:w="0" w:type="dxa"/>
            <w:right w:w="108" w:type="dxa"/>
          </w:tblCellMar>
        </w:tblPrEx>
        <w:trPr>
          <w:trHeight w:val="2878" w:hRule="atLeast"/>
          <w:jc w:val="center"/>
        </w:trPr>
        <w:tc>
          <w:tcPr>
            <w:tcW w:w="4667" w:type="dxa"/>
            <w:tcBorders>
              <w:top w:val="single" w:color="000000" w:sz="4" w:space="0"/>
              <w:left w:val="single" w:color="000000" w:sz="4" w:space="0"/>
              <w:bottom w:val="single" w:color="000000" w:sz="4" w:space="0"/>
              <w:right w:val="single" w:color="000000" w:sz="4" w:space="0"/>
            </w:tcBorders>
            <w:vAlign w:val="center"/>
          </w:tcPr>
          <w:p w14:paraId="3238B705">
            <w:pPr>
              <w:widowControl/>
              <w:spacing w:line="38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val="en-US" w:eastAsia="zh-CN"/>
              </w:rPr>
              <w:t>2.</w:t>
            </w:r>
            <w:r>
              <w:rPr>
                <w:rFonts w:hint="eastAsia" w:ascii="仿宋_GB2312" w:hAnsi="仿宋_GB2312" w:eastAsia="仿宋_GB2312" w:cs="仿宋_GB2312"/>
                <w:kern w:val="0"/>
                <w:sz w:val="24"/>
              </w:rPr>
              <w:t>在浙江省参加高考，文理分科时为文科全省前200位、理科全省前600位，综合招生改革后的普通类前800位，并被C9 联盟高校（除清华大学、北京大学）和中国人民大学、北京师范大学、华东师范大学录取的本科及硕士研究生（硕士毕业生，本科要求学校同上述学校）。</w:t>
            </w:r>
          </w:p>
        </w:tc>
        <w:tc>
          <w:tcPr>
            <w:tcW w:w="1506" w:type="dxa"/>
            <w:tcBorders>
              <w:top w:val="single" w:color="000000" w:sz="4" w:space="0"/>
              <w:left w:val="single" w:color="000000" w:sz="4" w:space="0"/>
              <w:bottom w:val="single" w:color="000000" w:sz="4" w:space="0"/>
              <w:right w:val="single" w:color="000000" w:sz="4" w:space="0"/>
            </w:tcBorders>
            <w:vAlign w:val="center"/>
          </w:tcPr>
          <w:p w14:paraId="44D2084B">
            <w:pPr>
              <w:widowControl/>
              <w:spacing w:line="380" w:lineRule="exact"/>
              <w:jc w:val="center"/>
              <w:textAlignment w:val="center"/>
              <w:rPr>
                <w:rFonts w:hint="eastAsia" w:ascii="仿宋_GB2312" w:hAnsi="仿宋_GB2312" w:eastAsia="仿宋_GB2312" w:cs="仿宋_GB2312"/>
                <w:sz w:val="24"/>
              </w:rPr>
            </w:pPr>
            <w:r>
              <w:rPr>
                <w:rStyle w:val="35"/>
                <w:rFonts w:ascii="仿宋_GB2312" w:hAnsi="仿宋_GB2312" w:eastAsia="仿宋_GB2312" w:cs="仿宋_GB2312"/>
                <w:color w:val="auto"/>
              </w:rPr>
              <w:t>40</w:t>
            </w:r>
            <w:r>
              <w:rPr>
                <w:rStyle w:val="35"/>
                <w:rFonts w:hint="eastAsia" w:ascii="仿宋_GB2312" w:hAnsi="仿宋_GB2312" w:eastAsia="仿宋_GB2312" w:cs="仿宋_GB2312"/>
                <w:color w:val="auto"/>
              </w:rPr>
              <w:t>万</w:t>
            </w:r>
          </w:p>
        </w:tc>
        <w:tc>
          <w:tcPr>
            <w:tcW w:w="1959" w:type="dxa"/>
            <w:tcBorders>
              <w:top w:val="single" w:color="000000" w:sz="4" w:space="0"/>
              <w:left w:val="single" w:color="000000" w:sz="4" w:space="0"/>
              <w:bottom w:val="single" w:color="000000" w:sz="4" w:space="0"/>
              <w:right w:val="single" w:color="000000" w:sz="4" w:space="0"/>
            </w:tcBorders>
            <w:vAlign w:val="center"/>
          </w:tcPr>
          <w:p w14:paraId="4894F80B">
            <w:pPr>
              <w:widowControl/>
              <w:spacing w:line="380" w:lineRule="exact"/>
              <w:jc w:val="center"/>
              <w:textAlignment w:val="center"/>
              <w:rPr>
                <w:rStyle w:val="35"/>
                <w:rFonts w:hint="eastAsia" w:ascii="仿宋_GB2312" w:hAnsi="仿宋_GB2312" w:eastAsia="仿宋_GB2312" w:cs="仿宋_GB2312"/>
                <w:color w:val="auto"/>
              </w:rPr>
            </w:pPr>
            <w:r>
              <w:rPr>
                <w:rStyle w:val="35"/>
                <w:rFonts w:hint="eastAsia" w:ascii="仿宋_GB2312" w:hAnsi="仿宋_GB2312" w:eastAsia="仿宋_GB2312" w:cs="仿宋_GB2312"/>
                <w:color w:val="auto"/>
              </w:rPr>
              <w:t>硕士10万</w:t>
            </w:r>
          </w:p>
        </w:tc>
        <w:tc>
          <w:tcPr>
            <w:tcW w:w="1506" w:type="dxa"/>
            <w:tcBorders>
              <w:top w:val="single" w:color="000000" w:sz="4" w:space="0"/>
              <w:left w:val="single" w:color="000000" w:sz="4" w:space="0"/>
              <w:bottom w:val="single" w:color="000000" w:sz="4" w:space="0"/>
              <w:right w:val="single" w:color="000000" w:sz="4" w:space="0"/>
            </w:tcBorders>
            <w:vAlign w:val="center"/>
          </w:tcPr>
          <w:p w14:paraId="15FC8CD3">
            <w:pPr>
              <w:widowControl/>
              <w:spacing w:line="380" w:lineRule="exact"/>
              <w:jc w:val="center"/>
              <w:textAlignment w:val="center"/>
              <w:rPr>
                <w:rStyle w:val="35"/>
                <w:rFonts w:hint="eastAsia" w:ascii="仿宋_GB2312" w:hAnsi="仿宋_GB2312" w:eastAsia="仿宋_GB2312" w:cs="仿宋_GB2312"/>
                <w:color w:val="auto"/>
              </w:rPr>
            </w:pPr>
            <w:r>
              <w:rPr>
                <w:rStyle w:val="35"/>
                <w:rFonts w:ascii="仿宋_GB2312" w:hAnsi="仿宋_GB2312" w:eastAsia="仿宋_GB2312" w:cs="仿宋_GB2312"/>
                <w:color w:val="auto"/>
              </w:rPr>
              <w:t>10-</w:t>
            </w:r>
            <w:r>
              <w:rPr>
                <w:rStyle w:val="35"/>
                <w:rFonts w:hint="eastAsia" w:ascii="仿宋_GB2312" w:hAnsi="仿宋_GB2312" w:eastAsia="仿宋_GB2312" w:cs="仿宋_GB2312"/>
                <w:color w:val="auto"/>
              </w:rPr>
              <w:t>15万</w:t>
            </w:r>
            <w:r>
              <w:rPr>
                <w:rStyle w:val="35"/>
                <w:rFonts w:ascii="仿宋_GB2312" w:hAnsi="仿宋_GB2312" w:eastAsia="仿宋_GB2312" w:cs="仿宋_GB2312"/>
                <w:color w:val="auto"/>
              </w:rPr>
              <w:t>/</w:t>
            </w:r>
            <w:r>
              <w:rPr>
                <w:rStyle w:val="35"/>
                <w:rFonts w:hint="eastAsia" w:ascii="仿宋_GB2312" w:hAnsi="仿宋_GB2312" w:eastAsia="仿宋_GB2312" w:cs="仿宋_GB2312"/>
                <w:color w:val="auto"/>
              </w:rPr>
              <w:t>年</w:t>
            </w:r>
          </w:p>
        </w:tc>
      </w:tr>
      <w:tr w14:paraId="4A1F6570">
        <w:tblPrEx>
          <w:tblCellMar>
            <w:top w:w="0" w:type="dxa"/>
            <w:left w:w="108" w:type="dxa"/>
            <w:bottom w:w="0" w:type="dxa"/>
            <w:right w:w="108" w:type="dxa"/>
          </w:tblCellMar>
        </w:tblPrEx>
        <w:trPr>
          <w:trHeight w:val="600" w:hRule="atLeast"/>
          <w:jc w:val="center"/>
        </w:trPr>
        <w:tc>
          <w:tcPr>
            <w:tcW w:w="4667" w:type="dxa"/>
            <w:tcBorders>
              <w:top w:val="single" w:color="000000" w:sz="4" w:space="0"/>
              <w:left w:val="single" w:color="000000" w:sz="4" w:space="0"/>
              <w:bottom w:val="single" w:color="000000" w:sz="4" w:space="0"/>
              <w:right w:val="single" w:color="000000" w:sz="4" w:space="0"/>
            </w:tcBorders>
            <w:noWrap/>
            <w:vAlign w:val="center"/>
          </w:tcPr>
          <w:p w14:paraId="397BF3F8">
            <w:pPr>
              <w:widowControl/>
              <w:spacing w:line="38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val="en-US" w:eastAsia="zh-CN"/>
              </w:rPr>
              <w:t>3.</w:t>
            </w:r>
            <w:r>
              <w:rPr>
                <w:rFonts w:hint="eastAsia" w:ascii="仿宋_GB2312" w:hAnsi="仿宋_GB2312" w:eastAsia="仿宋_GB2312" w:cs="仿宋_GB2312"/>
                <w:kern w:val="0"/>
                <w:sz w:val="24"/>
              </w:rPr>
              <w:t>清华、北大本科及硕士研究生（本科非清华、北大）。</w:t>
            </w:r>
          </w:p>
        </w:tc>
        <w:tc>
          <w:tcPr>
            <w:tcW w:w="1506" w:type="dxa"/>
            <w:tcBorders>
              <w:top w:val="single" w:color="000000" w:sz="4" w:space="0"/>
              <w:left w:val="single" w:color="000000" w:sz="4" w:space="0"/>
              <w:bottom w:val="single" w:color="000000" w:sz="4" w:space="0"/>
              <w:right w:val="single" w:color="000000" w:sz="4" w:space="0"/>
            </w:tcBorders>
            <w:vAlign w:val="center"/>
          </w:tcPr>
          <w:p w14:paraId="634B54F9">
            <w:pPr>
              <w:widowControl/>
              <w:spacing w:line="380" w:lineRule="exact"/>
              <w:jc w:val="center"/>
              <w:textAlignment w:val="center"/>
              <w:rPr>
                <w:rFonts w:hint="eastAsia" w:ascii="仿宋_GB2312" w:hAnsi="仿宋_GB2312" w:eastAsia="仿宋_GB2312" w:cs="仿宋_GB2312"/>
                <w:sz w:val="24"/>
              </w:rPr>
            </w:pPr>
            <w:r>
              <w:rPr>
                <w:rStyle w:val="35"/>
                <w:rFonts w:ascii="仿宋_GB2312" w:hAnsi="仿宋_GB2312" w:eastAsia="仿宋_GB2312" w:cs="仿宋_GB2312"/>
                <w:color w:val="auto"/>
              </w:rPr>
              <w:t>50</w:t>
            </w:r>
            <w:r>
              <w:rPr>
                <w:rStyle w:val="35"/>
                <w:rFonts w:hint="eastAsia" w:ascii="仿宋_GB2312" w:hAnsi="仿宋_GB2312" w:eastAsia="仿宋_GB2312" w:cs="仿宋_GB2312"/>
                <w:color w:val="auto"/>
              </w:rPr>
              <w:t>万</w:t>
            </w:r>
          </w:p>
        </w:tc>
        <w:tc>
          <w:tcPr>
            <w:tcW w:w="1959" w:type="dxa"/>
            <w:tcBorders>
              <w:top w:val="single" w:color="000000" w:sz="4" w:space="0"/>
              <w:left w:val="single" w:color="000000" w:sz="4" w:space="0"/>
              <w:bottom w:val="single" w:color="000000" w:sz="4" w:space="0"/>
              <w:right w:val="single" w:color="000000" w:sz="4" w:space="0"/>
            </w:tcBorders>
            <w:vAlign w:val="center"/>
          </w:tcPr>
          <w:p w14:paraId="5C07B32A">
            <w:pPr>
              <w:widowControl/>
              <w:spacing w:line="380" w:lineRule="exact"/>
              <w:jc w:val="center"/>
              <w:textAlignment w:val="center"/>
              <w:rPr>
                <w:rStyle w:val="35"/>
                <w:rFonts w:hint="eastAsia" w:ascii="仿宋_GB2312" w:hAnsi="仿宋_GB2312" w:eastAsia="仿宋_GB2312" w:cs="仿宋_GB2312"/>
                <w:color w:val="auto"/>
              </w:rPr>
            </w:pPr>
            <w:r>
              <w:rPr>
                <w:rStyle w:val="35"/>
                <w:rFonts w:hint="eastAsia" w:ascii="仿宋_GB2312" w:hAnsi="仿宋_GB2312" w:eastAsia="仿宋_GB2312" w:cs="仿宋_GB2312"/>
                <w:color w:val="auto"/>
              </w:rPr>
              <w:t>硕士10万</w:t>
            </w:r>
          </w:p>
        </w:tc>
        <w:tc>
          <w:tcPr>
            <w:tcW w:w="1506" w:type="dxa"/>
            <w:tcBorders>
              <w:top w:val="single" w:color="000000" w:sz="4" w:space="0"/>
              <w:left w:val="single" w:color="000000" w:sz="4" w:space="0"/>
              <w:bottom w:val="single" w:color="000000" w:sz="4" w:space="0"/>
              <w:right w:val="single" w:color="000000" w:sz="4" w:space="0"/>
            </w:tcBorders>
            <w:vAlign w:val="center"/>
          </w:tcPr>
          <w:p w14:paraId="2E7142E0">
            <w:pPr>
              <w:widowControl/>
              <w:spacing w:line="380" w:lineRule="exact"/>
              <w:jc w:val="center"/>
              <w:textAlignment w:val="center"/>
              <w:rPr>
                <w:rStyle w:val="35"/>
                <w:rFonts w:hint="eastAsia" w:ascii="仿宋_GB2312" w:hAnsi="仿宋_GB2312" w:eastAsia="仿宋_GB2312" w:cs="仿宋_GB2312"/>
                <w:color w:val="auto"/>
              </w:rPr>
            </w:pPr>
            <w:r>
              <w:rPr>
                <w:rStyle w:val="35"/>
                <w:rFonts w:ascii="仿宋_GB2312" w:hAnsi="仿宋_GB2312" w:eastAsia="仿宋_GB2312" w:cs="仿宋_GB2312"/>
                <w:color w:val="auto"/>
              </w:rPr>
              <w:t>15-20</w:t>
            </w:r>
            <w:r>
              <w:rPr>
                <w:rStyle w:val="35"/>
                <w:rFonts w:hint="eastAsia" w:ascii="仿宋_GB2312" w:hAnsi="仿宋_GB2312" w:eastAsia="仿宋_GB2312" w:cs="仿宋_GB2312"/>
                <w:color w:val="auto"/>
              </w:rPr>
              <w:t>万</w:t>
            </w:r>
            <w:r>
              <w:rPr>
                <w:rStyle w:val="35"/>
                <w:rFonts w:ascii="仿宋_GB2312" w:hAnsi="仿宋_GB2312" w:eastAsia="仿宋_GB2312" w:cs="仿宋_GB2312"/>
                <w:color w:val="auto"/>
              </w:rPr>
              <w:t>/</w:t>
            </w:r>
            <w:r>
              <w:rPr>
                <w:rStyle w:val="35"/>
                <w:rFonts w:hint="eastAsia" w:ascii="仿宋_GB2312" w:hAnsi="仿宋_GB2312" w:eastAsia="仿宋_GB2312" w:cs="仿宋_GB2312"/>
                <w:color w:val="auto"/>
              </w:rPr>
              <w:t>年</w:t>
            </w:r>
          </w:p>
        </w:tc>
      </w:tr>
      <w:tr w14:paraId="45F1DB14">
        <w:tblPrEx>
          <w:tblCellMar>
            <w:top w:w="0" w:type="dxa"/>
            <w:left w:w="108" w:type="dxa"/>
            <w:bottom w:w="0" w:type="dxa"/>
            <w:right w:w="108" w:type="dxa"/>
          </w:tblCellMar>
        </w:tblPrEx>
        <w:trPr>
          <w:trHeight w:val="2072" w:hRule="atLeast"/>
          <w:jc w:val="center"/>
        </w:trPr>
        <w:tc>
          <w:tcPr>
            <w:tcW w:w="4667" w:type="dxa"/>
            <w:tcBorders>
              <w:top w:val="single" w:color="000000" w:sz="4" w:space="0"/>
              <w:left w:val="single" w:color="000000" w:sz="4" w:space="0"/>
              <w:bottom w:val="single" w:color="000000" w:sz="4" w:space="0"/>
              <w:right w:val="single" w:color="000000" w:sz="4" w:space="0"/>
            </w:tcBorders>
            <w:vAlign w:val="center"/>
          </w:tcPr>
          <w:p w14:paraId="31836044">
            <w:pPr>
              <w:widowControl/>
              <w:spacing w:line="38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val="en-US" w:eastAsia="zh-CN"/>
              </w:rPr>
              <w:t>4.</w:t>
            </w:r>
            <w:r>
              <w:rPr>
                <w:rFonts w:hint="eastAsia" w:ascii="仿宋_GB2312" w:hAnsi="仿宋_GB2312" w:eastAsia="仿宋_GB2312" w:cs="仿宋_GB2312"/>
                <w:kern w:val="0"/>
                <w:sz w:val="24"/>
              </w:rPr>
              <w:t>清华、北大硕士研究生（本科也为清华、北大）、其他“双一流”高校（其中一流学科建设高校仅限于对应建设学科）、原“985”“211”高校及国外知名高校的博士研究生(本或硕阶段要求学校同上述学校)。</w:t>
            </w:r>
          </w:p>
        </w:tc>
        <w:tc>
          <w:tcPr>
            <w:tcW w:w="1506" w:type="dxa"/>
            <w:tcBorders>
              <w:top w:val="single" w:color="000000" w:sz="4" w:space="0"/>
              <w:left w:val="single" w:color="000000" w:sz="4" w:space="0"/>
              <w:bottom w:val="single" w:color="000000" w:sz="4" w:space="0"/>
              <w:right w:val="single" w:color="000000" w:sz="4" w:space="0"/>
            </w:tcBorders>
            <w:vAlign w:val="center"/>
          </w:tcPr>
          <w:p w14:paraId="1810DDBB">
            <w:pPr>
              <w:widowControl/>
              <w:spacing w:line="380" w:lineRule="exact"/>
              <w:jc w:val="center"/>
              <w:textAlignment w:val="center"/>
              <w:rPr>
                <w:rFonts w:hint="eastAsia" w:ascii="仿宋_GB2312" w:hAnsi="仿宋_GB2312" w:eastAsia="仿宋_GB2312" w:cs="仿宋_GB2312"/>
                <w:sz w:val="24"/>
              </w:rPr>
            </w:pPr>
            <w:r>
              <w:rPr>
                <w:rStyle w:val="35"/>
                <w:rFonts w:ascii="仿宋_GB2312" w:hAnsi="仿宋_GB2312" w:eastAsia="仿宋_GB2312" w:cs="仿宋_GB2312"/>
                <w:color w:val="auto"/>
              </w:rPr>
              <w:t>70</w:t>
            </w:r>
            <w:r>
              <w:rPr>
                <w:rStyle w:val="35"/>
                <w:rFonts w:hint="eastAsia" w:ascii="仿宋_GB2312" w:hAnsi="仿宋_GB2312" w:eastAsia="仿宋_GB2312" w:cs="仿宋_GB2312"/>
                <w:color w:val="auto"/>
              </w:rPr>
              <w:t>万</w:t>
            </w:r>
          </w:p>
        </w:tc>
        <w:tc>
          <w:tcPr>
            <w:tcW w:w="1959" w:type="dxa"/>
            <w:tcBorders>
              <w:top w:val="single" w:color="000000" w:sz="4" w:space="0"/>
              <w:left w:val="single" w:color="000000" w:sz="4" w:space="0"/>
              <w:bottom w:val="single" w:color="000000" w:sz="4" w:space="0"/>
              <w:right w:val="single" w:color="000000" w:sz="4" w:space="0"/>
            </w:tcBorders>
            <w:vAlign w:val="center"/>
          </w:tcPr>
          <w:p w14:paraId="5A171E48">
            <w:pPr>
              <w:widowControl/>
              <w:spacing w:line="380" w:lineRule="exact"/>
              <w:jc w:val="center"/>
              <w:textAlignment w:val="center"/>
              <w:rPr>
                <w:rStyle w:val="35"/>
                <w:rFonts w:hint="eastAsia" w:ascii="仿宋_GB2312" w:hAnsi="仿宋_GB2312" w:eastAsia="仿宋_GB2312" w:cs="仿宋_GB2312"/>
                <w:color w:val="auto"/>
              </w:rPr>
            </w:pPr>
            <w:r>
              <w:rPr>
                <w:rStyle w:val="35"/>
                <w:rFonts w:hint="eastAsia" w:ascii="仿宋_GB2312" w:hAnsi="仿宋_GB2312" w:eastAsia="仿宋_GB2312" w:cs="仿宋_GB2312"/>
                <w:color w:val="auto"/>
              </w:rPr>
              <w:t>博士</w:t>
            </w:r>
            <w:r>
              <w:rPr>
                <w:rStyle w:val="35"/>
                <w:rFonts w:ascii="仿宋_GB2312" w:hAnsi="仿宋_GB2312" w:eastAsia="仿宋_GB2312" w:cs="仿宋_GB2312"/>
                <w:color w:val="auto"/>
              </w:rPr>
              <w:t>1</w:t>
            </w:r>
            <w:r>
              <w:rPr>
                <w:rStyle w:val="35"/>
                <w:rFonts w:hint="eastAsia" w:ascii="仿宋_GB2312" w:hAnsi="仿宋_GB2312" w:eastAsia="仿宋_GB2312" w:cs="仿宋_GB2312"/>
                <w:color w:val="auto"/>
              </w:rPr>
              <w:t>5万</w:t>
            </w:r>
          </w:p>
          <w:p w14:paraId="43F197B5">
            <w:pPr>
              <w:widowControl/>
              <w:spacing w:line="380" w:lineRule="exact"/>
              <w:jc w:val="center"/>
              <w:textAlignment w:val="center"/>
              <w:rPr>
                <w:rStyle w:val="35"/>
                <w:rFonts w:hint="eastAsia" w:ascii="仿宋_GB2312" w:hAnsi="仿宋_GB2312" w:eastAsia="仿宋_GB2312" w:cs="仿宋_GB2312"/>
                <w:color w:val="auto"/>
              </w:rPr>
            </w:pPr>
            <w:r>
              <w:rPr>
                <w:rStyle w:val="35"/>
                <w:rFonts w:hint="eastAsia" w:ascii="仿宋_GB2312" w:hAnsi="仿宋_GB2312" w:eastAsia="仿宋_GB2312" w:cs="仿宋_GB2312"/>
                <w:color w:val="auto"/>
              </w:rPr>
              <w:t>硕士10万</w:t>
            </w:r>
          </w:p>
        </w:tc>
        <w:tc>
          <w:tcPr>
            <w:tcW w:w="1506" w:type="dxa"/>
            <w:tcBorders>
              <w:top w:val="single" w:color="000000" w:sz="4" w:space="0"/>
              <w:left w:val="single" w:color="000000" w:sz="4" w:space="0"/>
              <w:bottom w:val="single" w:color="000000" w:sz="4" w:space="0"/>
              <w:right w:val="single" w:color="000000" w:sz="4" w:space="0"/>
            </w:tcBorders>
            <w:vAlign w:val="center"/>
          </w:tcPr>
          <w:p w14:paraId="2655D5A5">
            <w:pPr>
              <w:widowControl/>
              <w:spacing w:line="380" w:lineRule="exact"/>
              <w:jc w:val="center"/>
              <w:textAlignment w:val="center"/>
              <w:rPr>
                <w:rStyle w:val="35"/>
                <w:rFonts w:hint="eastAsia" w:ascii="仿宋_GB2312" w:hAnsi="仿宋_GB2312" w:eastAsia="仿宋_GB2312" w:cs="仿宋_GB2312"/>
                <w:color w:val="auto"/>
              </w:rPr>
            </w:pPr>
            <w:r>
              <w:rPr>
                <w:rStyle w:val="35"/>
                <w:rFonts w:ascii="仿宋_GB2312" w:hAnsi="仿宋_GB2312" w:eastAsia="仿宋_GB2312" w:cs="仿宋_GB2312"/>
                <w:color w:val="auto"/>
              </w:rPr>
              <w:t>20-25</w:t>
            </w:r>
            <w:r>
              <w:rPr>
                <w:rStyle w:val="35"/>
                <w:rFonts w:hint="eastAsia" w:ascii="仿宋_GB2312" w:hAnsi="仿宋_GB2312" w:eastAsia="仿宋_GB2312" w:cs="仿宋_GB2312"/>
                <w:color w:val="auto"/>
              </w:rPr>
              <w:t>万</w:t>
            </w:r>
            <w:r>
              <w:rPr>
                <w:rStyle w:val="35"/>
                <w:rFonts w:ascii="仿宋_GB2312" w:hAnsi="仿宋_GB2312" w:eastAsia="仿宋_GB2312" w:cs="仿宋_GB2312"/>
                <w:color w:val="auto"/>
              </w:rPr>
              <w:t>/</w:t>
            </w:r>
            <w:r>
              <w:rPr>
                <w:rStyle w:val="35"/>
                <w:rFonts w:hint="eastAsia" w:ascii="仿宋_GB2312" w:hAnsi="仿宋_GB2312" w:eastAsia="仿宋_GB2312" w:cs="仿宋_GB2312"/>
                <w:color w:val="auto"/>
              </w:rPr>
              <w:t>年</w:t>
            </w:r>
          </w:p>
        </w:tc>
      </w:tr>
      <w:tr w14:paraId="750ACD40">
        <w:tblPrEx>
          <w:tblCellMar>
            <w:top w:w="0" w:type="dxa"/>
            <w:left w:w="108" w:type="dxa"/>
            <w:bottom w:w="0" w:type="dxa"/>
            <w:right w:w="108" w:type="dxa"/>
          </w:tblCellMar>
        </w:tblPrEx>
        <w:trPr>
          <w:trHeight w:val="990" w:hRule="atLeast"/>
          <w:jc w:val="center"/>
        </w:trPr>
        <w:tc>
          <w:tcPr>
            <w:tcW w:w="4667" w:type="dxa"/>
            <w:tcBorders>
              <w:top w:val="single" w:color="000000" w:sz="4" w:space="0"/>
              <w:left w:val="single" w:color="000000" w:sz="4" w:space="0"/>
              <w:bottom w:val="single" w:color="000000" w:sz="4" w:space="0"/>
              <w:right w:val="single" w:color="000000" w:sz="4" w:space="0"/>
            </w:tcBorders>
            <w:noWrap/>
            <w:vAlign w:val="center"/>
          </w:tcPr>
          <w:p w14:paraId="6A6E7AAF">
            <w:pPr>
              <w:widowControl/>
              <w:spacing w:line="38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val="en-US" w:eastAsia="zh-CN"/>
              </w:rPr>
              <w:t>5.</w:t>
            </w:r>
            <w:r>
              <w:rPr>
                <w:rFonts w:hint="eastAsia" w:ascii="仿宋_GB2312" w:hAnsi="仿宋_GB2312" w:eastAsia="仿宋_GB2312" w:cs="仿宋_GB2312"/>
                <w:kern w:val="0"/>
                <w:sz w:val="24"/>
              </w:rPr>
              <w:t>清华、北大博士研究生（本硕阶段均要求为世界一流大学建设高校、原985高校）。</w:t>
            </w:r>
          </w:p>
        </w:tc>
        <w:tc>
          <w:tcPr>
            <w:tcW w:w="1506" w:type="dxa"/>
            <w:tcBorders>
              <w:top w:val="single" w:color="000000" w:sz="4" w:space="0"/>
              <w:left w:val="single" w:color="000000" w:sz="4" w:space="0"/>
              <w:bottom w:val="single" w:color="000000" w:sz="4" w:space="0"/>
              <w:right w:val="single" w:color="000000" w:sz="4" w:space="0"/>
            </w:tcBorders>
            <w:vAlign w:val="center"/>
          </w:tcPr>
          <w:p w14:paraId="2B658569">
            <w:pPr>
              <w:widowControl/>
              <w:spacing w:line="380" w:lineRule="exact"/>
              <w:jc w:val="center"/>
              <w:textAlignment w:val="center"/>
              <w:rPr>
                <w:rFonts w:hint="eastAsia" w:ascii="仿宋_GB2312" w:hAnsi="仿宋_GB2312" w:eastAsia="仿宋_GB2312" w:cs="仿宋_GB2312"/>
                <w:sz w:val="24"/>
              </w:rPr>
            </w:pPr>
            <w:r>
              <w:rPr>
                <w:rStyle w:val="35"/>
                <w:rFonts w:ascii="仿宋_GB2312" w:hAnsi="仿宋_GB2312" w:eastAsia="仿宋_GB2312" w:cs="仿宋_GB2312"/>
                <w:color w:val="auto"/>
              </w:rPr>
              <w:t>105</w:t>
            </w:r>
            <w:r>
              <w:rPr>
                <w:rStyle w:val="35"/>
                <w:rFonts w:hint="eastAsia" w:ascii="仿宋_GB2312" w:hAnsi="仿宋_GB2312" w:eastAsia="仿宋_GB2312" w:cs="仿宋_GB2312"/>
                <w:color w:val="auto"/>
              </w:rPr>
              <w:t>万</w:t>
            </w:r>
          </w:p>
        </w:tc>
        <w:tc>
          <w:tcPr>
            <w:tcW w:w="1959" w:type="dxa"/>
            <w:tcBorders>
              <w:top w:val="single" w:color="000000" w:sz="4" w:space="0"/>
              <w:left w:val="single" w:color="000000" w:sz="4" w:space="0"/>
              <w:bottom w:val="single" w:color="000000" w:sz="4" w:space="0"/>
              <w:right w:val="single" w:color="000000" w:sz="4" w:space="0"/>
            </w:tcBorders>
            <w:vAlign w:val="center"/>
          </w:tcPr>
          <w:p w14:paraId="70BBCDF4">
            <w:pPr>
              <w:widowControl/>
              <w:spacing w:line="380" w:lineRule="exact"/>
              <w:jc w:val="center"/>
              <w:textAlignment w:val="center"/>
              <w:rPr>
                <w:rStyle w:val="35"/>
                <w:rFonts w:hint="eastAsia" w:ascii="仿宋_GB2312" w:hAnsi="仿宋_GB2312" w:eastAsia="仿宋_GB2312" w:cs="仿宋_GB2312"/>
                <w:color w:val="auto"/>
              </w:rPr>
            </w:pPr>
            <w:r>
              <w:rPr>
                <w:rStyle w:val="35"/>
                <w:rFonts w:hint="eastAsia" w:ascii="仿宋_GB2312" w:hAnsi="仿宋_GB2312" w:eastAsia="仿宋_GB2312" w:cs="仿宋_GB2312"/>
                <w:color w:val="auto"/>
              </w:rPr>
              <w:t>博士</w:t>
            </w:r>
            <w:r>
              <w:rPr>
                <w:rStyle w:val="35"/>
                <w:rFonts w:ascii="仿宋_GB2312" w:hAnsi="仿宋_GB2312" w:eastAsia="仿宋_GB2312" w:cs="仿宋_GB2312"/>
                <w:color w:val="auto"/>
              </w:rPr>
              <w:t>1</w:t>
            </w:r>
            <w:r>
              <w:rPr>
                <w:rStyle w:val="35"/>
                <w:rFonts w:hint="eastAsia" w:ascii="仿宋_GB2312" w:hAnsi="仿宋_GB2312" w:eastAsia="仿宋_GB2312" w:cs="仿宋_GB2312"/>
                <w:color w:val="auto"/>
              </w:rPr>
              <w:t>5万</w:t>
            </w:r>
          </w:p>
        </w:tc>
        <w:tc>
          <w:tcPr>
            <w:tcW w:w="1506" w:type="dxa"/>
            <w:tcBorders>
              <w:top w:val="single" w:color="000000" w:sz="4" w:space="0"/>
              <w:left w:val="single" w:color="000000" w:sz="4" w:space="0"/>
              <w:bottom w:val="single" w:color="000000" w:sz="4" w:space="0"/>
              <w:right w:val="single" w:color="000000" w:sz="4" w:space="0"/>
            </w:tcBorders>
            <w:vAlign w:val="center"/>
          </w:tcPr>
          <w:p w14:paraId="6FD90E69">
            <w:pPr>
              <w:widowControl/>
              <w:spacing w:line="380" w:lineRule="exact"/>
              <w:jc w:val="center"/>
              <w:textAlignment w:val="center"/>
              <w:rPr>
                <w:rStyle w:val="35"/>
                <w:rFonts w:hint="eastAsia" w:ascii="仿宋_GB2312" w:hAnsi="仿宋_GB2312" w:eastAsia="仿宋_GB2312" w:cs="仿宋_GB2312"/>
                <w:color w:val="auto"/>
              </w:rPr>
            </w:pPr>
            <w:r>
              <w:rPr>
                <w:rStyle w:val="35"/>
                <w:rFonts w:ascii="仿宋_GB2312" w:hAnsi="仿宋_GB2312" w:eastAsia="仿宋_GB2312" w:cs="仿宋_GB2312"/>
                <w:color w:val="auto"/>
              </w:rPr>
              <w:t>25-30</w:t>
            </w:r>
            <w:r>
              <w:rPr>
                <w:rStyle w:val="35"/>
                <w:rFonts w:hint="eastAsia" w:ascii="仿宋_GB2312" w:hAnsi="仿宋_GB2312" w:eastAsia="仿宋_GB2312" w:cs="仿宋_GB2312"/>
                <w:color w:val="auto"/>
              </w:rPr>
              <w:t>万</w:t>
            </w:r>
            <w:r>
              <w:rPr>
                <w:rStyle w:val="35"/>
                <w:rFonts w:ascii="仿宋_GB2312" w:hAnsi="仿宋_GB2312" w:eastAsia="仿宋_GB2312" w:cs="仿宋_GB2312"/>
                <w:color w:val="auto"/>
              </w:rPr>
              <w:t>/</w:t>
            </w:r>
            <w:r>
              <w:rPr>
                <w:rStyle w:val="35"/>
                <w:rFonts w:hint="eastAsia" w:ascii="仿宋_GB2312" w:hAnsi="仿宋_GB2312" w:eastAsia="仿宋_GB2312" w:cs="仿宋_GB2312"/>
                <w:color w:val="auto"/>
              </w:rPr>
              <w:t>年</w:t>
            </w:r>
          </w:p>
        </w:tc>
      </w:tr>
    </w:tbl>
    <w:p w14:paraId="3A70FAE0">
      <w:pPr>
        <w:tabs>
          <w:tab w:val="left" w:pos="5056"/>
        </w:tabs>
        <w:adjustRightInd w:val="0"/>
        <w:spacing w:line="300" w:lineRule="exact"/>
        <w:rPr>
          <w:rFonts w:hint="eastAsia" w:ascii="楷体_GB2312" w:hAnsi="楷体_GB2312" w:eastAsia="楷体_GB2312" w:cs="楷体_GB2312"/>
          <w:sz w:val="24"/>
        </w:rPr>
      </w:pPr>
      <w:r>
        <w:rPr>
          <w:rFonts w:hint="eastAsia" w:ascii="楷体_GB2312" w:hAnsi="楷体_GB2312" w:eastAsia="楷体_GB2312" w:cs="楷体_GB2312"/>
          <w:sz w:val="24"/>
        </w:rPr>
        <w:t>注：1.在享有同类公办教师待遇基础上，享受上述人才待遇。</w:t>
      </w:r>
    </w:p>
    <w:p w14:paraId="1B552923">
      <w:pPr>
        <w:tabs>
          <w:tab w:val="left" w:pos="5056"/>
        </w:tabs>
        <w:adjustRightInd w:val="0"/>
        <w:spacing w:line="300" w:lineRule="exact"/>
        <w:ind w:firstLine="480" w:firstLineChars="200"/>
        <w:rPr>
          <w:rFonts w:hint="eastAsia" w:ascii="楷体_GB2312" w:hAnsi="楷体_GB2312" w:eastAsia="楷体_GB2312" w:cs="楷体_GB2312"/>
          <w:sz w:val="24"/>
        </w:rPr>
      </w:pPr>
      <w:r>
        <w:rPr>
          <w:rFonts w:hint="eastAsia" w:ascii="楷体_GB2312" w:hAnsi="楷体_GB2312" w:eastAsia="楷体_GB2312" w:cs="楷体_GB2312"/>
          <w:sz w:val="24"/>
        </w:rPr>
        <w:t>2.根据我市人才新政，除上述人才类别外，引进的博士，给予60万元房票补贴、15万元安家补贴；引进的“双一流”高校硕士，给予10万元安家补贴。</w:t>
      </w:r>
    </w:p>
    <w:p w14:paraId="5450B733">
      <w:pPr>
        <w:tabs>
          <w:tab w:val="left" w:pos="5056"/>
        </w:tabs>
        <w:adjustRightInd w:val="0"/>
        <w:spacing w:line="300" w:lineRule="exact"/>
        <w:ind w:firstLine="480" w:firstLineChars="200"/>
        <w:rPr>
          <w:rFonts w:hint="eastAsia" w:ascii="楷体_GB2312" w:hAnsi="楷体_GB2312" w:eastAsia="楷体_GB2312" w:cs="楷体_GB2312"/>
          <w:sz w:val="24"/>
        </w:rPr>
      </w:pPr>
      <w:r>
        <w:rPr>
          <w:rFonts w:hint="eastAsia" w:ascii="楷体_GB2312" w:hAnsi="楷体_GB2312" w:eastAsia="楷体_GB2312" w:cs="楷体_GB2312"/>
          <w:sz w:val="24"/>
        </w:rPr>
        <w:t>3.C9联盟高校名单：北京大学、清华大学、浙江大学、复旦大学、上海交通大学、南京大学、中国科学技术大学、西安交通大学、哈尔滨工业大学。</w:t>
      </w:r>
    </w:p>
    <w:p w14:paraId="6D0C014E">
      <w:pPr>
        <w:spacing w:line="380" w:lineRule="exact"/>
        <w:jc w:val="center"/>
        <w:rPr>
          <w:rFonts w:hint="eastAsia" w:ascii="黑体" w:hAnsi="黑体" w:eastAsia="黑体" w:cs="黑体"/>
          <w:sz w:val="32"/>
          <w:szCs w:val="32"/>
          <w:lang w:val="en-US" w:eastAsia="zh-CN"/>
        </w:rPr>
      </w:pPr>
    </w:p>
    <w:p w14:paraId="503DC9DC">
      <w:pPr>
        <w:spacing w:line="380" w:lineRule="exact"/>
        <w:jc w:val="center"/>
        <w:rPr>
          <w:rFonts w:hint="eastAsia" w:ascii="黑体" w:hAnsi="黑体" w:eastAsia="黑体" w:cs="黑体"/>
          <w:sz w:val="32"/>
          <w:szCs w:val="32"/>
          <w:lang w:val="en-US" w:eastAsia="zh-CN"/>
        </w:rPr>
      </w:pPr>
    </w:p>
    <w:p w14:paraId="6A7432A0">
      <w:pPr>
        <w:spacing w:line="380" w:lineRule="exact"/>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嵊州市招聘普通高中高层次学科竞赛教练有关待遇一览表</w:t>
      </w:r>
    </w:p>
    <w:tbl>
      <w:tblPr>
        <w:tblStyle w:val="15"/>
        <w:tblpPr w:leftFromText="180" w:rightFromText="180" w:vertAnchor="text" w:horzAnchor="page" w:tblpXSpec="center" w:tblpY="360"/>
        <w:tblOverlap w:val="never"/>
        <w:tblW w:w="102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63"/>
        <w:gridCol w:w="2101"/>
        <w:gridCol w:w="2896"/>
        <w:gridCol w:w="1371"/>
        <w:gridCol w:w="1320"/>
        <w:gridCol w:w="1408"/>
      </w:tblGrid>
      <w:tr w14:paraId="13AA1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6" w:hRule="atLeast"/>
          <w:jc w:val="center"/>
        </w:trPr>
        <w:tc>
          <w:tcPr>
            <w:tcW w:w="61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E8D97">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人才类别</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0E7E6">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房票补贴</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6E877">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安家补贴</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CFF9B">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人才奖励</w:t>
            </w:r>
          </w:p>
        </w:tc>
      </w:tr>
      <w:tr w14:paraId="353CE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4" w:hRule="atLeast"/>
          <w:jc w:val="center"/>
        </w:trPr>
        <w:tc>
          <w:tcPr>
            <w:tcW w:w="11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7B012A">
            <w:pPr>
              <w:keepNext w:val="0"/>
              <w:keepLines w:val="0"/>
              <w:widowControl/>
              <w:suppressLineNumbers w:val="0"/>
              <w:jc w:val="center"/>
              <w:textAlignment w:val="center"/>
              <w:rPr>
                <w:rFonts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高层次学科竞赛教练</w:t>
            </w:r>
          </w:p>
        </w:tc>
        <w:tc>
          <w:tcPr>
            <w:tcW w:w="21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6C14B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在职相应五大学科竞赛教练，具有本科及以上学历，副高及以上职称，从事相应学科竞赛辅导工作3年及以上（目前仍从事）且辅导学生获得全国联赛省赛区一等奖，年龄要求45周岁以下</w:t>
            </w:r>
          </w:p>
        </w:tc>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BE07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1.辅导学生进入“竞赛强省”省队的学科竞赛教练</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F50F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40万</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F4CBB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10万</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207E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10-50万/年</w:t>
            </w:r>
          </w:p>
        </w:tc>
      </w:tr>
      <w:tr w14:paraId="7245B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jc w:val="center"/>
        </w:trPr>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3BDCA">
            <w:pPr>
              <w:jc w:val="center"/>
              <w:rPr>
                <w:rFonts w:hint="eastAsia" w:ascii="仿宋_GB2312" w:hAnsi="宋体" w:eastAsia="仿宋_GB2312" w:cs="仿宋_GB2312"/>
                <w:i w:val="0"/>
                <w:iCs w:val="0"/>
                <w:color w:val="000000"/>
                <w:sz w:val="22"/>
                <w:szCs w:val="22"/>
                <w:u w:val="none"/>
              </w:rPr>
            </w:pPr>
          </w:p>
        </w:tc>
        <w:tc>
          <w:tcPr>
            <w:tcW w:w="21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5753D">
            <w:pPr>
              <w:jc w:val="left"/>
              <w:rPr>
                <w:rFonts w:hint="eastAsia" w:ascii="仿宋_GB2312" w:hAnsi="宋体" w:eastAsia="仿宋_GB2312" w:cs="仿宋_GB2312"/>
                <w:i w:val="0"/>
                <w:iCs w:val="0"/>
                <w:color w:val="000000"/>
                <w:sz w:val="22"/>
                <w:szCs w:val="22"/>
                <w:u w:val="none"/>
              </w:rPr>
            </w:pPr>
          </w:p>
        </w:tc>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9EEE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2.辅导学生获得相应学科全国竞赛总决赛二等奖的教练</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BFEC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50万</w:t>
            </w: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F36B1">
            <w:pPr>
              <w:jc w:val="center"/>
              <w:rPr>
                <w:rFonts w:hint="eastAsia" w:ascii="仿宋_GB2312" w:hAnsi="宋体" w:eastAsia="仿宋_GB2312" w:cs="仿宋_GB2312"/>
                <w:i w:val="0"/>
                <w:iCs w:val="0"/>
                <w:color w:val="000000"/>
                <w:sz w:val="22"/>
                <w:szCs w:val="22"/>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FA77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20-60万/年</w:t>
            </w:r>
          </w:p>
        </w:tc>
      </w:tr>
      <w:tr w14:paraId="4A241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jc w:val="center"/>
        </w:trPr>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0DF92">
            <w:pPr>
              <w:jc w:val="center"/>
              <w:rPr>
                <w:rFonts w:hint="eastAsia" w:ascii="仿宋_GB2312" w:hAnsi="宋体" w:eastAsia="仿宋_GB2312" w:cs="仿宋_GB2312"/>
                <w:i w:val="0"/>
                <w:iCs w:val="0"/>
                <w:color w:val="000000"/>
                <w:sz w:val="22"/>
                <w:szCs w:val="22"/>
                <w:u w:val="none"/>
              </w:rPr>
            </w:pPr>
          </w:p>
        </w:tc>
        <w:tc>
          <w:tcPr>
            <w:tcW w:w="21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A6D51">
            <w:pPr>
              <w:jc w:val="left"/>
              <w:rPr>
                <w:rFonts w:hint="eastAsia" w:ascii="仿宋_GB2312" w:hAnsi="宋体" w:eastAsia="仿宋_GB2312" w:cs="仿宋_GB2312"/>
                <w:i w:val="0"/>
                <w:iCs w:val="0"/>
                <w:color w:val="000000"/>
                <w:sz w:val="22"/>
                <w:szCs w:val="22"/>
                <w:u w:val="none"/>
              </w:rPr>
            </w:pPr>
          </w:p>
        </w:tc>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18AB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3.辅导学生获得相应学科全国竞赛总决赛一等奖的教练</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6DEB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60万</w:t>
            </w: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F13EF">
            <w:pPr>
              <w:jc w:val="center"/>
              <w:rPr>
                <w:rFonts w:hint="eastAsia" w:ascii="仿宋_GB2312" w:hAnsi="宋体" w:eastAsia="仿宋_GB2312" w:cs="仿宋_GB2312"/>
                <w:i w:val="0"/>
                <w:iCs w:val="0"/>
                <w:color w:val="000000"/>
                <w:sz w:val="22"/>
                <w:szCs w:val="22"/>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D615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30-70万/年</w:t>
            </w:r>
          </w:p>
        </w:tc>
      </w:tr>
      <w:tr w14:paraId="1D140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17DD8">
            <w:pPr>
              <w:jc w:val="center"/>
              <w:rPr>
                <w:rFonts w:hint="eastAsia" w:ascii="仿宋_GB2312" w:hAnsi="宋体" w:eastAsia="仿宋_GB2312" w:cs="仿宋_GB2312"/>
                <w:i w:val="0"/>
                <w:iCs w:val="0"/>
                <w:color w:val="000000"/>
                <w:sz w:val="22"/>
                <w:szCs w:val="22"/>
                <w:u w:val="none"/>
              </w:rPr>
            </w:pPr>
          </w:p>
        </w:tc>
        <w:tc>
          <w:tcPr>
            <w:tcW w:w="21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13C47">
            <w:pPr>
              <w:jc w:val="left"/>
              <w:rPr>
                <w:rFonts w:hint="eastAsia" w:ascii="仿宋_GB2312" w:hAnsi="宋体" w:eastAsia="仿宋_GB2312" w:cs="仿宋_GB2312"/>
                <w:i w:val="0"/>
                <w:iCs w:val="0"/>
                <w:color w:val="000000"/>
                <w:sz w:val="22"/>
                <w:szCs w:val="22"/>
                <w:u w:val="none"/>
              </w:rPr>
            </w:pPr>
          </w:p>
        </w:tc>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64A9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4.辅导学生进入国家集训队的教练</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8ED6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70万</w:t>
            </w: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38ED4">
            <w:pPr>
              <w:jc w:val="center"/>
              <w:rPr>
                <w:rFonts w:hint="eastAsia" w:ascii="仿宋_GB2312" w:hAnsi="宋体" w:eastAsia="仿宋_GB2312" w:cs="仿宋_GB2312"/>
                <w:i w:val="0"/>
                <w:iCs w:val="0"/>
                <w:color w:val="000000"/>
                <w:sz w:val="22"/>
                <w:szCs w:val="22"/>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9BF1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60-100万/年</w:t>
            </w:r>
          </w:p>
        </w:tc>
      </w:tr>
      <w:tr w14:paraId="5B49F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jc w:val="center"/>
        </w:trPr>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FC932">
            <w:pPr>
              <w:jc w:val="center"/>
              <w:rPr>
                <w:rFonts w:hint="eastAsia" w:ascii="仿宋_GB2312" w:hAnsi="宋体" w:eastAsia="仿宋_GB2312" w:cs="仿宋_GB2312"/>
                <w:i w:val="0"/>
                <w:iCs w:val="0"/>
                <w:color w:val="000000"/>
                <w:sz w:val="22"/>
                <w:szCs w:val="22"/>
                <w:u w:val="none"/>
              </w:rPr>
            </w:pPr>
          </w:p>
        </w:tc>
        <w:tc>
          <w:tcPr>
            <w:tcW w:w="21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35584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高校优秀毕业生，博士毕业生或“985”高水平大学毕业的本科生、硕士生，年龄要求35周岁以下</w:t>
            </w:r>
          </w:p>
        </w:tc>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2CB0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1.在高中阶段曾获得学科竞赛全国联赛省级赛区二等奖的毕业生</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6F97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20万</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B111C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本科5万</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硕士10万</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博士15万</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6D82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5-10万/年</w:t>
            </w:r>
          </w:p>
        </w:tc>
      </w:tr>
      <w:tr w14:paraId="6F93B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2" w:hRule="atLeast"/>
          <w:jc w:val="center"/>
        </w:trPr>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3052C">
            <w:pPr>
              <w:jc w:val="center"/>
              <w:rPr>
                <w:rFonts w:hint="eastAsia" w:ascii="仿宋_GB2312" w:hAnsi="宋体" w:eastAsia="仿宋_GB2312" w:cs="仿宋_GB2312"/>
                <w:i w:val="0"/>
                <w:iCs w:val="0"/>
                <w:color w:val="000000"/>
                <w:sz w:val="22"/>
                <w:szCs w:val="22"/>
                <w:u w:val="none"/>
              </w:rPr>
            </w:pPr>
          </w:p>
        </w:tc>
        <w:tc>
          <w:tcPr>
            <w:tcW w:w="21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6BF99">
            <w:pPr>
              <w:jc w:val="left"/>
              <w:rPr>
                <w:rFonts w:hint="eastAsia" w:ascii="仿宋_GB2312" w:hAnsi="宋体" w:eastAsia="仿宋_GB2312" w:cs="仿宋_GB2312"/>
                <w:i w:val="0"/>
                <w:iCs w:val="0"/>
                <w:color w:val="000000"/>
                <w:sz w:val="22"/>
                <w:szCs w:val="22"/>
                <w:u w:val="none"/>
              </w:rPr>
            </w:pPr>
          </w:p>
        </w:tc>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E588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2.在高中阶段曾获得学科竞赛全国联赛省级赛区一等奖的毕业生</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26B0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30万</w:t>
            </w: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9C22E">
            <w:pPr>
              <w:jc w:val="center"/>
              <w:rPr>
                <w:rFonts w:hint="eastAsia" w:ascii="仿宋_GB2312" w:hAnsi="宋体" w:eastAsia="仿宋_GB2312" w:cs="仿宋_GB2312"/>
                <w:i w:val="0"/>
                <w:iCs w:val="0"/>
                <w:color w:val="000000"/>
                <w:sz w:val="22"/>
                <w:szCs w:val="22"/>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79AD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10-15万/年</w:t>
            </w:r>
          </w:p>
        </w:tc>
      </w:tr>
      <w:tr w14:paraId="27504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4" w:hRule="atLeast"/>
          <w:jc w:val="center"/>
        </w:trPr>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1AB1A">
            <w:pPr>
              <w:jc w:val="center"/>
              <w:rPr>
                <w:rFonts w:hint="eastAsia" w:ascii="仿宋_GB2312" w:hAnsi="宋体" w:eastAsia="仿宋_GB2312" w:cs="仿宋_GB2312"/>
                <w:i w:val="0"/>
                <w:iCs w:val="0"/>
                <w:color w:val="000000"/>
                <w:sz w:val="22"/>
                <w:szCs w:val="22"/>
                <w:u w:val="none"/>
              </w:rPr>
            </w:pPr>
          </w:p>
        </w:tc>
        <w:tc>
          <w:tcPr>
            <w:tcW w:w="21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81453">
            <w:pPr>
              <w:jc w:val="left"/>
              <w:rPr>
                <w:rFonts w:hint="eastAsia" w:ascii="仿宋_GB2312" w:hAnsi="宋体" w:eastAsia="仿宋_GB2312" w:cs="仿宋_GB2312"/>
                <w:i w:val="0"/>
                <w:iCs w:val="0"/>
                <w:color w:val="000000"/>
                <w:sz w:val="22"/>
                <w:szCs w:val="22"/>
                <w:u w:val="none"/>
              </w:rPr>
            </w:pPr>
          </w:p>
        </w:tc>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0717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3.在高中阶段曾获得相应学科全国竞赛总决赛银牌的毕业生</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0BC7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40万</w:t>
            </w: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37E56">
            <w:pPr>
              <w:jc w:val="center"/>
              <w:rPr>
                <w:rFonts w:hint="eastAsia" w:ascii="仿宋_GB2312" w:hAnsi="宋体" w:eastAsia="仿宋_GB2312" w:cs="仿宋_GB2312"/>
                <w:i w:val="0"/>
                <w:iCs w:val="0"/>
                <w:color w:val="000000"/>
                <w:sz w:val="22"/>
                <w:szCs w:val="22"/>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0D08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15-20万/年</w:t>
            </w:r>
          </w:p>
        </w:tc>
      </w:tr>
      <w:tr w14:paraId="1435C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8" w:hRule="atLeast"/>
          <w:jc w:val="center"/>
        </w:trPr>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5FD76">
            <w:pPr>
              <w:jc w:val="center"/>
              <w:rPr>
                <w:rFonts w:hint="eastAsia" w:ascii="仿宋_GB2312" w:hAnsi="宋体" w:eastAsia="仿宋_GB2312" w:cs="仿宋_GB2312"/>
                <w:i w:val="0"/>
                <w:iCs w:val="0"/>
                <w:color w:val="000000"/>
                <w:sz w:val="22"/>
                <w:szCs w:val="22"/>
                <w:u w:val="none"/>
              </w:rPr>
            </w:pPr>
          </w:p>
        </w:tc>
        <w:tc>
          <w:tcPr>
            <w:tcW w:w="21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BF060">
            <w:pPr>
              <w:jc w:val="left"/>
              <w:rPr>
                <w:rFonts w:hint="eastAsia" w:ascii="仿宋_GB2312" w:hAnsi="宋体" w:eastAsia="仿宋_GB2312" w:cs="仿宋_GB2312"/>
                <w:i w:val="0"/>
                <w:iCs w:val="0"/>
                <w:color w:val="000000"/>
                <w:sz w:val="22"/>
                <w:szCs w:val="22"/>
                <w:u w:val="none"/>
              </w:rPr>
            </w:pPr>
          </w:p>
        </w:tc>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D749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4.在高中阶段曾获得相应学科全国竞赛总决赛金牌的毕业生</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781F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50万</w:t>
            </w: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31850">
            <w:pPr>
              <w:jc w:val="center"/>
              <w:rPr>
                <w:rFonts w:hint="eastAsia" w:ascii="仿宋_GB2312" w:hAnsi="宋体" w:eastAsia="仿宋_GB2312" w:cs="仿宋_GB2312"/>
                <w:i w:val="0"/>
                <w:iCs w:val="0"/>
                <w:color w:val="000000"/>
                <w:sz w:val="22"/>
                <w:szCs w:val="22"/>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F211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20-25万/年</w:t>
            </w:r>
          </w:p>
        </w:tc>
      </w:tr>
      <w:tr w14:paraId="4210E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1" w:hRule="atLeast"/>
          <w:jc w:val="center"/>
        </w:trPr>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4146C">
            <w:pPr>
              <w:jc w:val="center"/>
              <w:rPr>
                <w:rFonts w:hint="eastAsia" w:ascii="仿宋_GB2312" w:hAnsi="宋体" w:eastAsia="仿宋_GB2312" w:cs="仿宋_GB2312"/>
                <w:i w:val="0"/>
                <w:iCs w:val="0"/>
                <w:color w:val="000000"/>
                <w:sz w:val="22"/>
                <w:szCs w:val="22"/>
                <w:u w:val="none"/>
              </w:rPr>
            </w:pPr>
          </w:p>
        </w:tc>
        <w:tc>
          <w:tcPr>
            <w:tcW w:w="21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7F0E0">
            <w:pPr>
              <w:jc w:val="left"/>
              <w:rPr>
                <w:rFonts w:hint="eastAsia" w:ascii="仿宋_GB2312" w:hAnsi="宋体" w:eastAsia="仿宋_GB2312" w:cs="仿宋_GB2312"/>
                <w:i w:val="0"/>
                <w:iCs w:val="0"/>
                <w:color w:val="000000"/>
                <w:sz w:val="22"/>
                <w:szCs w:val="22"/>
                <w:u w:val="none"/>
              </w:rPr>
            </w:pPr>
          </w:p>
        </w:tc>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8083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5.在高中阶段曾进入相应学科国家集训队的毕业生</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FEF1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60万</w:t>
            </w: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BABDB">
            <w:pPr>
              <w:jc w:val="center"/>
              <w:rPr>
                <w:rFonts w:hint="eastAsia" w:ascii="仿宋_GB2312" w:hAnsi="宋体" w:eastAsia="仿宋_GB2312" w:cs="仿宋_GB2312"/>
                <w:i w:val="0"/>
                <w:iCs w:val="0"/>
                <w:color w:val="000000"/>
                <w:sz w:val="22"/>
                <w:szCs w:val="22"/>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9F98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25-30万/年</w:t>
            </w:r>
          </w:p>
        </w:tc>
      </w:tr>
      <w:tr w14:paraId="07F03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3" w:hRule="atLeast"/>
          <w:jc w:val="center"/>
        </w:trPr>
        <w:tc>
          <w:tcPr>
            <w:tcW w:w="10259" w:type="dxa"/>
            <w:gridSpan w:val="6"/>
            <w:tcBorders>
              <w:top w:val="nil"/>
              <w:left w:val="nil"/>
              <w:bottom w:val="nil"/>
              <w:right w:val="nil"/>
            </w:tcBorders>
            <w:shd w:val="clear" w:color="auto" w:fill="auto"/>
            <w:vAlign w:val="center"/>
          </w:tcPr>
          <w:p w14:paraId="11DC23A3">
            <w:pPr>
              <w:keepNext w:val="0"/>
              <w:keepLines w:val="0"/>
              <w:widowControl/>
              <w:suppressLineNumbers w:val="0"/>
              <w:jc w:val="left"/>
              <w:textAlignment w:val="center"/>
              <w:rPr>
                <w:rFonts w:ascii="楷体_GB2312" w:hAnsi="宋体" w:eastAsia="楷体_GB2312" w:cs="楷体_GB2312"/>
                <w:i w:val="0"/>
                <w:iCs w:val="0"/>
                <w:color w:val="000000"/>
                <w:sz w:val="22"/>
                <w:szCs w:val="22"/>
                <w:u w:val="none"/>
              </w:rPr>
            </w:pPr>
            <w:r>
              <w:rPr>
                <w:rFonts w:hint="eastAsia" w:ascii="楷体_GB2312" w:hAnsi="宋体" w:eastAsia="楷体_GB2312" w:cs="楷体_GB2312"/>
                <w:i w:val="0"/>
                <w:iCs w:val="0"/>
                <w:color w:val="000000"/>
                <w:kern w:val="0"/>
                <w:sz w:val="22"/>
                <w:szCs w:val="22"/>
                <w:u w:val="none"/>
                <w:lang w:val="en-US" w:eastAsia="zh-CN" w:bidi="ar"/>
              </w:rPr>
              <w:t>注：1.在享有同类公办教师待遇基础上，享受上述人才待遇。</w:t>
            </w:r>
            <w:r>
              <w:rPr>
                <w:rFonts w:hint="eastAsia" w:ascii="楷体_GB2312" w:hAnsi="宋体" w:eastAsia="楷体_GB2312" w:cs="楷体_GB2312"/>
                <w:i w:val="0"/>
                <w:iCs w:val="0"/>
                <w:color w:val="000000"/>
                <w:kern w:val="0"/>
                <w:sz w:val="22"/>
                <w:szCs w:val="22"/>
                <w:u w:val="none"/>
                <w:lang w:val="en-US" w:eastAsia="zh-CN" w:bidi="ar"/>
              </w:rPr>
              <w:br w:type="textWrapping"/>
            </w:r>
            <w:r>
              <w:rPr>
                <w:rFonts w:hint="eastAsia" w:ascii="楷体_GB2312" w:hAnsi="宋体" w:eastAsia="楷体_GB2312" w:cs="楷体_GB2312"/>
                <w:i w:val="0"/>
                <w:iCs w:val="0"/>
                <w:color w:val="000000"/>
                <w:kern w:val="0"/>
                <w:sz w:val="22"/>
                <w:szCs w:val="22"/>
                <w:u w:val="none"/>
                <w:lang w:val="en-US" w:eastAsia="zh-CN" w:bidi="ar"/>
              </w:rPr>
              <w:t xml:space="preserve">    2.以上涉及的奖励（补助）事项，与我市现行人才政策中存在重复的，按照“就高原则”享受。</w:t>
            </w:r>
            <w:r>
              <w:rPr>
                <w:rFonts w:hint="eastAsia" w:ascii="楷体_GB2312" w:hAnsi="宋体" w:eastAsia="楷体_GB2312" w:cs="楷体_GB2312"/>
                <w:i w:val="0"/>
                <w:iCs w:val="0"/>
                <w:color w:val="000000"/>
                <w:kern w:val="0"/>
                <w:sz w:val="22"/>
                <w:szCs w:val="22"/>
                <w:u w:val="none"/>
                <w:lang w:val="en-US" w:eastAsia="zh-CN" w:bidi="ar"/>
              </w:rPr>
              <w:br w:type="textWrapping"/>
            </w:r>
            <w:r>
              <w:rPr>
                <w:rFonts w:hint="eastAsia" w:ascii="楷体_GB2312" w:hAnsi="宋体" w:eastAsia="楷体_GB2312" w:cs="楷体_GB2312"/>
                <w:i w:val="0"/>
                <w:iCs w:val="0"/>
                <w:color w:val="000000"/>
                <w:kern w:val="0"/>
                <w:sz w:val="22"/>
                <w:szCs w:val="22"/>
                <w:u w:val="none"/>
                <w:lang w:val="en-US" w:eastAsia="zh-CN" w:bidi="ar"/>
              </w:rPr>
              <w:t xml:space="preserve">    3.根据我市现行人才政策，除上述人才类别外，引进的博士，给予60万元房票补贴、15万元安家补贴；引进的“双一流”高校硕士，给予10万元安家补贴。</w:t>
            </w:r>
          </w:p>
        </w:tc>
      </w:tr>
    </w:tbl>
    <w:p w14:paraId="4F29E30B">
      <w:pPr>
        <w:pStyle w:val="2"/>
        <w:rPr>
          <w:rFonts w:hint="eastAsia"/>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等线 Light">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BA4"/>
    <w:rsid w:val="000758D8"/>
    <w:rsid w:val="002B3A91"/>
    <w:rsid w:val="004A6BA4"/>
    <w:rsid w:val="0083280C"/>
    <w:rsid w:val="00C20F62"/>
    <w:rsid w:val="630652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asciiTheme="minorHAnsi" w:hAnsiTheme="minorHAnsi" w:eastAsiaTheme="minorEastAsia" w:cstheme="majorBidi"/>
      <w:color w:val="2F5597"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asciiTheme="minorHAnsi" w:hAnsiTheme="minorHAnsi" w:eastAsiaTheme="minorEastAsia" w:cstheme="majorBidi"/>
      <w:color w:val="2F5597"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asciiTheme="minorHAnsi" w:hAnsiTheme="minorHAnsi" w:eastAsiaTheme="minorEastAsia" w:cstheme="majorBidi"/>
      <w:b/>
      <w:bCs/>
      <w:color w:val="2F5597" w:themeColor="accent1" w:themeShade="BF"/>
      <w:szCs w:val="22"/>
    </w:rPr>
  </w:style>
  <w:style w:type="paragraph" w:styleId="8">
    <w:name w:val="heading 7"/>
    <w:basedOn w:val="1"/>
    <w:next w:val="1"/>
    <w:link w:val="23"/>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szCs w:val="22"/>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asciiTheme="minorHAnsi" w:hAnsiTheme="minorHAnsi" w:eastAsiaTheme="minorEastAsia" w:cstheme="majorBidi"/>
      <w:color w:val="595959" w:themeColor="text1" w:themeTint="A6"/>
      <w:szCs w:val="22"/>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asciiTheme="minorHAnsi" w:hAnsiTheme="minorHAnsi" w:eastAsiaTheme="majorEastAsia" w:cstheme="majorBidi"/>
      <w:color w:val="595959" w:themeColor="text1" w:themeTint="A6"/>
      <w:szCs w:val="22"/>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jc w:val="left"/>
    </w:pPr>
    <w:rPr>
      <w:sz w:val="18"/>
      <w:szCs w:val="18"/>
    </w:rPr>
  </w:style>
  <w:style w:type="paragraph" w:styleId="12">
    <w:name w:val="header"/>
    <w:basedOn w:val="1"/>
    <w:link w:val="36"/>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6"/>
    <w:link w:val="5"/>
    <w:semiHidden/>
    <w:qFormat/>
    <w:uiPriority w:val="9"/>
    <w:rPr>
      <w:rFonts w:cstheme="majorBidi"/>
      <w:color w:val="2F5597" w:themeColor="accent1" w:themeShade="BF"/>
      <w:sz w:val="28"/>
      <w:szCs w:val="28"/>
    </w:rPr>
  </w:style>
  <w:style w:type="character" w:customStyle="1" w:styleId="21">
    <w:name w:val="标题 5 字符"/>
    <w:basedOn w:val="16"/>
    <w:link w:val="6"/>
    <w:semiHidden/>
    <w:qFormat/>
    <w:uiPriority w:val="9"/>
    <w:rPr>
      <w:rFonts w:cstheme="majorBidi"/>
      <w:color w:val="2F5597" w:themeColor="accent1" w:themeShade="BF"/>
      <w:sz w:val="24"/>
      <w:szCs w:val="24"/>
    </w:rPr>
  </w:style>
  <w:style w:type="character" w:customStyle="1" w:styleId="22">
    <w:name w:val="标题 6 字符"/>
    <w:basedOn w:val="16"/>
    <w:link w:val="7"/>
    <w:semiHidden/>
    <w:qFormat/>
    <w:uiPriority w:val="9"/>
    <w:rPr>
      <w:rFonts w:cstheme="majorBidi"/>
      <w:b/>
      <w:bCs/>
      <w:color w:val="2F5597"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rFonts w:asciiTheme="minorHAnsi" w:hAnsiTheme="minorHAnsi" w:eastAsiaTheme="minorEastAsia" w:cstheme="minorBidi"/>
      <w:i/>
      <w:iCs/>
      <w:color w:val="404040" w:themeColor="text1" w:themeTint="BF"/>
      <w:szCs w:val="22"/>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rPr>
      <w:rFonts w:asciiTheme="minorHAnsi" w:hAnsiTheme="minorHAnsi" w:eastAsiaTheme="minorEastAsia" w:cstheme="minorBidi"/>
      <w:szCs w:val="22"/>
    </w:rPr>
  </w:style>
  <w:style w:type="character" w:customStyle="1" w:styleId="31">
    <w:name w:val="Intense Emphasis"/>
    <w:basedOn w:val="16"/>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rFonts w:asciiTheme="minorHAnsi" w:hAnsiTheme="minorHAnsi" w:eastAsiaTheme="minorEastAsia" w:cstheme="minorBidi"/>
      <w:i/>
      <w:iCs/>
      <w:color w:val="2F5597" w:themeColor="accent1" w:themeShade="BF"/>
      <w:szCs w:val="22"/>
    </w:rPr>
  </w:style>
  <w:style w:type="character" w:customStyle="1" w:styleId="33">
    <w:name w:val="明显引用 字符"/>
    <w:basedOn w:val="16"/>
    <w:link w:val="32"/>
    <w:qFormat/>
    <w:uiPriority w:val="30"/>
    <w:rPr>
      <w:i/>
      <w:iCs/>
      <w:color w:val="2F5597" w:themeColor="accent1" w:themeShade="BF"/>
    </w:rPr>
  </w:style>
  <w:style w:type="character" w:customStyle="1" w:styleId="34">
    <w:name w:val="Intense Reference"/>
    <w:basedOn w:val="16"/>
    <w:qFormat/>
    <w:uiPriority w:val="32"/>
    <w:rPr>
      <w:b/>
      <w:bCs/>
      <w:smallCaps/>
      <w:color w:val="2F5597" w:themeColor="accent1" w:themeShade="BF"/>
      <w:spacing w:val="5"/>
    </w:rPr>
  </w:style>
  <w:style w:type="character" w:customStyle="1" w:styleId="35">
    <w:name w:val="font41"/>
    <w:qFormat/>
    <w:uiPriority w:val="99"/>
    <w:rPr>
      <w:rFonts w:ascii="宋体" w:hAnsi="宋体" w:eastAsia="宋体" w:cs="宋体"/>
      <w:color w:val="000000"/>
      <w:sz w:val="24"/>
      <w:szCs w:val="24"/>
      <w:u w:val="none"/>
    </w:rPr>
  </w:style>
  <w:style w:type="character" w:customStyle="1" w:styleId="36">
    <w:name w:val="页眉 字符"/>
    <w:basedOn w:val="16"/>
    <w:link w:val="12"/>
    <w:qFormat/>
    <w:uiPriority w:val="99"/>
    <w:rPr>
      <w:rFonts w:ascii="Times New Roman" w:hAnsi="Times New Roman" w:eastAsia="宋体" w:cs="Times New Roman"/>
      <w:sz w:val="18"/>
      <w:szCs w:val="18"/>
    </w:rPr>
  </w:style>
  <w:style w:type="character" w:customStyle="1" w:styleId="37">
    <w:name w:val="页脚 字符"/>
    <w:basedOn w:val="16"/>
    <w:link w:val="11"/>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691</Words>
  <Characters>751</Characters>
  <Lines>5</Lines>
  <Paragraphs>1</Paragraphs>
  <TotalTime>7</TotalTime>
  <ScaleCrop>false</ScaleCrop>
  <LinksUpToDate>false</LinksUpToDate>
  <CharactersWithSpaces>753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2025-09-26T12:22:00Z</dcterms:created>
  <dc:creator>Lenovo</dc:creator>
  <cp:lastModifiedBy>余锋</cp:lastModifiedBy>
  <dcterms:modified xsi:type="dcterms:W3CDTF">2025-09-28T07:07:10Z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72B8AE99C8C1451F901E801D5D4D31AB_12</vt:lpwstr>
  </property>
</Properties>
</file>