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Lines="0" w:afterLines="0" w:line="560" w:lineRule="exact"/>
        <w:jc w:val="left"/>
        <w:rPr>
          <w:rFonts w:hint="default" w:ascii="Nimbus Roman No9 L" w:hAnsi="Nimbus Roman No9 L" w:eastAsia="黑体" w:cs="Nimbus Roman No9 L"/>
          <w:sz w:val="32"/>
          <w:szCs w:val="32"/>
          <w:highlight w:val="none"/>
          <w:u w:val="none"/>
          <w:lang w:val="en-US" w:eastAsia="zh-CN"/>
        </w:rPr>
      </w:pPr>
      <w:r>
        <w:rPr>
          <w:rFonts w:hint="default" w:ascii="Nimbus Roman No9 L" w:hAnsi="Nimbus Roman No9 L" w:eastAsia="黑体" w:cs="Nimbus Roman No9 L"/>
          <w:sz w:val="32"/>
          <w:szCs w:val="32"/>
          <w:highlight w:val="none"/>
          <w:u w:val="none"/>
          <w:lang w:val="en-US" w:eastAsia="zh-CN"/>
        </w:rPr>
        <w:t>附件</w:t>
      </w:r>
      <w:r>
        <w:rPr>
          <w:rFonts w:hint="eastAsia" w:ascii="Nimbus Roman No9 L" w:hAnsi="Nimbus Roman No9 L" w:eastAsia="黑体" w:cs="Nimbus Roman No9 L"/>
          <w:sz w:val="32"/>
          <w:szCs w:val="32"/>
          <w:highlight w:val="none"/>
          <w:u w:val="none"/>
          <w:lang w:val="en-US" w:eastAsia="zh-CN"/>
        </w:rPr>
        <w:t>6</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pPr>
        <w:pStyle w:val="3"/>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pPr>
        <w:pStyle w:val="3"/>
        <w:keepNext w:val="0"/>
        <w:keepLines w:val="0"/>
        <w:pageBreakBefore w:val="0"/>
        <w:widowControl w:val="0"/>
        <w:numPr>
          <w:ilvl w:val="0"/>
          <w:numId w:val="1"/>
        </w:numPr>
        <w:kinsoku/>
        <w:wordWrap/>
        <w:overflowPunct/>
        <w:topLinePunct w:val="0"/>
        <w:autoSpaceDE/>
        <w:autoSpaceDN/>
        <w:bidi w:val="0"/>
        <w:snapToGrid/>
        <w:spacing w:line="60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w:t>
      </w:r>
      <w:r>
        <w:rPr>
          <w:rFonts w:hint="eastAsia" w:ascii="Times New Roman" w:hAnsi="Times New Roman" w:eastAsia="仿宋_GB2312" w:cs="Times New Roman"/>
          <w:color w:val="auto"/>
          <w:kern w:val="0"/>
          <w:sz w:val="32"/>
          <w:szCs w:val="32"/>
          <w:highlight w:val="none"/>
          <w:u w:val="none"/>
          <w:lang w:val="en-US" w:eastAsia="zh-CN"/>
        </w:rPr>
        <w:t>2026年</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US" w:eastAsia="zh-CN"/>
        </w:rPr>
        <w:t>普通高校毕业生（非在职）</w:t>
      </w:r>
      <w:r>
        <w:rPr>
          <w:rFonts w:hint="default" w:ascii="Times New Roman" w:hAnsi="Times New Roman" w:eastAsia="仿宋_GB2312" w:cs="Times New Roman"/>
          <w:color w:val="auto"/>
          <w:kern w:val="0"/>
          <w:sz w:val="32"/>
          <w:szCs w:val="32"/>
          <w:highlight w:val="none"/>
          <w:u w:val="none"/>
          <w:lang w:val="en" w:eastAsia="zh-CN"/>
        </w:rPr>
        <w:t>未</w:t>
      </w:r>
      <w:r>
        <w:rPr>
          <w:rFonts w:hint="eastAsia" w:ascii="Times New Roman" w:hAnsi="Times New Roman" w:eastAsia="仿宋_GB2312" w:cs="Times New Roman"/>
          <w:color w:val="auto"/>
          <w:kern w:val="0"/>
          <w:sz w:val="32"/>
          <w:szCs w:val="32"/>
          <w:highlight w:val="none"/>
          <w:u w:val="none"/>
          <w:lang w:val="en" w:eastAsia="zh-CN"/>
        </w:rPr>
        <w:t>曾</w:t>
      </w:r>
      <w:r>
        <w:rPr>
          <w:rFonts w:hint="default" w:ascii="Times New Roman" w:hAnsi="Times New Roman" w:eastAsia="仿宋_GB2312" w:cs="Times New Roman"/>
          <w:color w:val="auto"/>
          <w:kern w:val="0"/>
          <w:sz w:val="32"/>
          <w:szCs w:val="32"/>
          <w:highlight w:val="none"/>
          <w:u w:val="none"/>
          <w:lang w:val="en" w:eastAsia="zh-CN"/>
        </w:rPr>
        <w:t>落实工作单位的人员。</w:t>
      </w:r>
    </w:p>
    <w:p>
      <w:pPr>
        <w:pStyle w:val="3"/>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val="en-US" w:eastAsia="zh-CN"/>
        </w:rPr>
        <w:t>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w:t>
      </w:r>
      <w:r>
        <w:rPr>
          <w:rFonts w:hint="eastAsia" w:ascii="Times New Roman" w:hAnsi="Times New Roman" w:eastAsia="仿宋_GB2312" w:cs="Times New Roman"/>
          <w:color w:val="auto"/>
          <w:kern w:val="0"/>
          <w:sz w:val="32"/>
          <w:szCs w:val="32"/>
          <w:highlight w:val="none"/>
          <w:u w:val="none"/>
          <w:lang w:val="en" w:eastAsia="zh-CN"/>
        </w:rPr>
        <w:t>曾</w:t>
      </w:r>
      <w:r>
        <w:rPr>
          <w:rFonts w:hint="default" w:ascii="Times New Roman" w:hAnsi="Times New Roman" w:eastAsia="仿宋_GB2312" w:cs="Times New Roman"/>
          <w:color w:val="auto"/>
          <w:kern w:val="0"/>
          <w:sz w:val="32"/>
          <w:szCs w:val="32"/>
          <w:highlight w:val="none"/>
          <w:u w:val="none"/>
          <w:lang w:val="en" w:eastAsia="zh-CN"/>
        </w:rPr>
        <w:t>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的基层服务项目人员。</w:t>
      </w:r>
    </w:p>
    <w:p>
      <w:pPr>
        <w:pStyle w:val="3"/>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keepNext w:val="0"/>
        <w:keepLines w:val="0"/>
        <w:pageBreakBefore w:val="0"/>
        <w:widowControl w:val="0"/>
        <w:kinsoku/>
        <w:wordWrap/>
        <w:overflowPunct/>
        <w:topLinePunct w:val="0"/>
        <w:autoSpaceDE/>
        <w:autoSpaceDN/>
        <w:bidi w:val="0"/>
        <w:adjustRightInd w:val="0"/>
        <w:snapToGrid/>
        <w:spacing w:line="60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非普通高等学历教育的其他国民教育形式（</w:t>
      </w:r>
      <w:r>
        <w:rPr>
          <w:rFonts w:hint="eastAsia" w:ascii="Times New Roman" w:hAnsi="Times New Roman" w:eastAsia="楷体_GB2312" w:cs="Times New Roman"/>
          <w:b/>
          <w:color w:val="auto"/>
          <w:kern w:val="0"/>
          <w:sz w:val="32"/>
          <w:szCs w:val="32"/>
          <w:highlight w:val="none"/>
          <w:u w:val="none"/>
          <w:lang w:val="en-US" w:eastAsia="zh-CN"/>
        </w:rPr>
        <w:t>自学考试、成人教育、网络教育、夜大、电大等），以及在职培养的毕业生是否可以报考</w:t>
      </w:r>
      <w:r>
        <w:rPr>
          <w:rFonts w:hint="default" w:ascii="Times New Roman" w:hAnsi="Times New Roman" w:eastAsia="楷体_GB2312" w:cs="Times New Roman"/>
          <w:b/>
          <w:color w:val="auto"/>
          <w:kern w:val="0"/>
          <w:sz w:val="32"/>
          <w:szCs w:val="32"/>
          <w:highlight w:val="none"/>
          <w:u w:val="none"/>
          <w:lang w:val="en-US" w:eastAsia="zh-CN"/>
        </w:rPr>
        <w:t>？</w:t>
      </w:r>
    </w:p>
    <w:p>
      <w:pPr>
        <w:pStyle w:val="3"/>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以最高学历报考的，最高学历及之前任一学历阶段为非普通高等学历教育的其他国民教育形式（自学考试、成人教育、网络教育、夜大、电大等），以及在职培养的毕业生不列入引进范围</w:t>
      </w:r>
      <w:r>
        <w:rPr>
          <w:rFonts w:hint="default" w:ascii="Times New Roman" w:hAnsi="Times New Roman" w:eastAsia="仿宋_GB2312" w:cs="Times New Roman"/>
          <w:color w:val="auto"/>
          <w:kern w:val="0"/>
          <w:sz w:val="32"/>
          <w:szCs w:val="32"/>
          <w:highlight w:val="none"/>
          <w:u w:val="none"/>
          <w:lang w:val="en-US" w:eastAsia="zh-CN"/>
        </w:rPr>
        <w:t>。</w:t>
      </w:r>
    </w:p>
    <w:p>
      <w:pPr>
        <w:pStyle w:val="3"/>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若用非最高学历报考的，其所用学历及之前任一学历阶段为非普通高等学历教育的其他国民教育形式，以及在职培养的毕业生不列入引进范围</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2" w:firstLineChars="200"/>
        <w:textAlignment w:val="auto"/>
        <w:rPr>
          <w:rFonts w:hint="eastAsia"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国家统一下达招生计划的非全日制研究生是否可报考？</w:t>
      </w:r>
    </w:p>
    <w:p>
      <w:pPr>
        <w:keepNext w:val="0"/>
        <w:keepLines w:val="0"/>
        <w:pageBreakBefore w:val="0"/>
        <w:widowControl w:val="0"/>
        <w:kinsoku/>
        <w:wordWrap/>
        <w:overflowPunct/>
        <w:topLinePunct w:val="0"/>
        <w:autoSpaceDE/>
        <w:autoSpaceDN/>
        <w:bidi w:val="0"/>
        <w:adjustRightInd/>
        <w:snapToGrid w:val="0"/>
        <w:spacing w:line="600" w:lineRule="exact"/>
        <w:ind w:firstLine="680" w:firstLineChars="200"/>
        <w:jc w:val="both"/>
        <w:textAlignment w:val="auto"/>
        <w:rPr>
          <w:rFonts w:hint="default" w:ascii="Times New Roman" w:hAnsi="Times New Roman" w:eastAsia="仿宋_GB2312" w:cs="Times New Roman"/>
          <w:color w:val="000000"/>
          <w:kern w:val="0"/>
          <w:sz w:val="34"/>
          <w:szCs w:val="34"/>
          <w:highlight w:val="none"/>
          <w:u w:val="none"/>
          <w:lang w:val="en-US" w:eastAsia="zh-CN"/>
        </w:rPr>
      </w:pPr>
      <w:r>
        <w:rPr>
          <w:rFonts w:hint="default" w:ascii="Times New Roman" w:hAnsi="Times New Roman" w:eastAsia="仿宋_GB2312" w:cs="Times New Roman"/>
          <w:color w:val="000000"/>
          <w:kern w:val="0"/>
          <w:sz w:val="34"/>
          <w:szCs w:val="34"/>
          <w:highlight w:val="none"/>
          <w:u w:val="none"/>
          <w:lang w:val="en-US" w:eastAsia="zh-CN"/>
        </w:rPr>
        <w:t>根据《教育部办公厅等五部门关于进一步做好非全日制研究生就业工作的通知》（教研厅函〔2019〕1号）规定，由国家统一下达招生计划的非全日制研究生，与全日制研究生考试招生执行相同的政策和标准，培养质量坚持同一要求，学历学位证书具有同等法律地位和相同效力。此类人员就读期间个人档案、组织关系保管在就读高校，且符合</w:t>
      </w:r>
      <w:r>
        <w:rPr>
          <w:rFonts w:hint="eastAsia" w:ascii="Times New Roman" w:hAnsi="Times New Roman" w:eastAsia="仿宋_GB2312" w:cs="Times New Roman"/>
          <w:color w:val="000000"/>
          <w:kern w:val="0"/>
          <w:sz w:val="34"/>
          <w:szCs w:val="34"/>
          <w:highlight w:val="none"/>
          <w:u w:val="none"/>
          <w:lang w:val="en-US" w:eastAsia="zh-CN"/>
        </w:rPr>
        <w:t>公告</w:t>
      </w:r>
      <w:r>
        <w:rPr>
          <w:rFonts w:hint="default" w:ascii="Times New Roman" w:hAnsi="Times New Roman" w:eastAsia="仿宋_GB2312" w:cs="Times New Roman"/>
          <w:color w:val="000000"/>
          <w:kern w:val="0"/>
          <w:sz w:val="34"/>
          <w:szCs w:val="34"/>
          <w:highlight w:val="none"/>
          <w:u w:val="none"/>
          <w:lang w:val="en-US" w:eastAsia="zh-CN"/>
        </w:rPr>
        <w:t>条件的，可报考本次</w:t>
      </w:r>
      <w:r>
        <w:rPr>
          <w:rFonts w:hint="eastAsia" w:ascii="Times New Roman" w:hAnsi="Times New Roman" w:eastAsia="仿宋_GB2312" w:cs="Times New Roman"/>
          <w:color w:val="000000"/>
          <w:kern w:val="0"/>
          <w:sz w:val="34"/>
          <w:szCs w:val="34"/>
          <w:highlight w:val="none"/>
          <w:u w:val="none"/>
          <w:lang w:val="en-US" w:eastAsia="zh-CN"/>
        </w:rPr>
        <w:t>急需紧缺人才岗位</w:t>
      </w:r>
      <w:r>
        <w:rPr>
          <w:rFonts w:hint="default" w:ascii="Times New Roman" w:hAnsi="Times New Roman" w:eastAsia="仿宋_GB2312" w:cs="Times New Roman"/>
          <w:color w:val="000000"/>
          <w:kern w:val="0"/>
          <w:sz w:val="34"/>
          <w:szCs w:val="34"/>
          <w:highlight w:val="none"/>
          <w:u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4.人才引进后是否有服务期限制？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color w:val="000000"/>
          <w:kern w:val="0"/>
          <w:sz w:val="34"/>
          <w:szCs w:val="34"/>
          <w:highlight w:val="none"/>
          <w:u w:val="none"/>
          <w:lang w:val="en-US" w:eastAsia="zh-CN" w:bidi="ar-SA"/>
        </w:rPr>
      </w:pPr>
      <w:r>
        <w:rPr>
          <w:rFonts w:hint="eastAsia" w:ascii="Times New Roman" w:hAnsi="Times New Roman" w:eastAsia="仿宋_GB2312" w:cs="Times New Roman"/>
          <w:color w:val="000000"/>
          <w:kern w:val="0"/>
          <w:sz w:val="34"/>
          <w:szCs w:val="34"/>
          <w:highlight w:val="none"/>
          <w:u w:val="none"/>
          <w:lang w:val="en-US" w:eastAsia="zh-CN" w:bidi="ar-SA"/>
        </w:rPr>
        <w:t>引进人才没有服务期限制。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梅州市2025年第二轮引进急需紧缺人才</w:t>
      </w:r>
      <w:r>
        <w:rPr>
          <w:rFonts w:hint="default" w:ascii="Times New Roman" w:hAnsi="Times New Roman" w:eastAsia="黑体" w:cs="Times New Roman"/>
          <w:b w:val="0"/>
          <w:bCs/>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spacing w:line="600" w:lineRule="exact"/>
        <w:textAlignment w:val="auto"/>
      </w:pPr>
    </w:p>
    <w:sectPr>
      <w:footerReference r:id="rId3" w:type="default"/>
      <w:pgSz w:w="11906" w:h="16838"/>
      <w:pgMar w:top="1440" w:right="1633" w:bottom="1383"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imbus Roman No9 L" w:hAnsi="Nimbus Roman No9 L" w:cs="Nimbus Roman No9 L"/>
                              <w:sz w:val="24"/>
                              <w:szCs w:val="24"/>
                            </w:rPr>
                          </w:pPr>
                          <w:r>
                            <w:rPr>
                              <w:rFonts w:hint="default" w:ascii="Nimbus Roman No9 L" w:hAnsi="Nimbus Roman No9 L" w:cs="Nimbus Roman No9 L"/>
                              <w:sz w:val="24"/>
                              <w:szCs w:val="24"/>
                            </w:rPr>
                            <w:fldChar w:fldCharType="begin"/>
                          </w:r>
                          <w:r>
                            <w:rPr>
                              <w:rFonts w:hint="default" w:ascii="Nimbus Roman No9 L" w:hAnsi="Nimbus Roman No9 L" w:cs="Nimbus Roman No9 L"/>
                              <w:sz w:val="24"/>
                              <w:szCs w:val="24"/>
                            </w:rPr>
                            <w:instrText xml:space="preserve"> PAGE  \* MERGEFORMAT </w:instrText>
                          </w:r>
                          <w:r>
                            <w:rPr>
                              <w:rFonts w:hint="default" w:ascii="Nimbus Roman No9 L" w:hAnsi="Nimbus Roman No9 L" w:cs="Nimbus Roman No9 L"/>
                              <w:sz w:val="24"/>
                              <w:szCs w:val="24"/>
                            </w:rPr>
                            <w:fldChar w:fldCharType="separate"/>
                          </w:r>
                          <w:r>
                            <w:rPr>
                              <w:rFonts w:hint="default" w:ascii="Nimbus Roman No9 L" w:hAnsi="Nimbus Roman No9 L" w:cs="Nimbus Roman No9 L"/>
                              <w:sz w:val="24"/>
                              <w:szCs w:val="24"/>
                            </w:rPr>
                            <w:t>1</w:t>
                          </w:r>
                          <w:r>
                            <w:rPr>
                              <w:rFonts w:hint="default" w:ascii="Nimbus Roman No9 L" w:hAnsi="Nimbus Roman No9 L" w:cs="Nimbus Roman No9 L"/>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imbus Roman No9 L" w:hAnsi="Nimbus Roman No9 L" w:cs="Nimbus Roman No9 L"/>
                        <w:sz w:val="24"/>
                        <w:szCs w:val="24"/>
                      </w:rPr>
                    </w:pPr>
                    <w:r>
                      <w:rPr>
                        <w:rFonts w:hint="default" w:ascii="Nimbus Roman No9 L" w:hAnsi="Nimbus Roman No9 L" w:cs="Nimbus Roman No9 L"/>
                        <w:sz w:val="24"/>
                        <w:szCs w:val="24"/>
                      </w:rPr>
                      <w:fldChar w:fldCharType="begin"/>
                    </w:r>
                    <w:r>
                      <w:rPr>
                        <w:rFonts w:hint="default" w:ascii="Nimbus Roman No9 L" w:hAnsi="Nimbus Roman No9 L" w:cs="Nimbus Roman No9 L"/>
                        <w:sz w:val="24"/>
                        <w:szCs w:val="24"/>
                      </w:rPr>
                      <w:instrText xml:space="preserve"> PAGE  \* MERGEFORMAT </w:instrText>
                    </w:r>
                    <w:r>
                      <w:rPr>
                        <w:rFonts w:hint="default" w:ascii="Nimbus Roman No9 L" w:hAnsi="Nimbus Roman No9 L" w:cs="Nimbus Roman No9 L"/>
                        <w:sz w:val="24"/>
                        <w:szCs w:val="24"/>
                      </w:rPr>
                      <w:fldChar w:fldCharType="separate"/>
                    </w:r>
                    <w:r>
                      <w:rPr>
                        <w:rFonts w:hint="default" w:ascii="Nimbus Roman No9 L" w:hAnsi="Nimbus Roman No9 L" w:cs="Nimbus Roman No9 L"/>
                        <w:sz w:val="24"/>
                        <w:szCs w:val="24"/>
                      </w:rPr>
                      <w:t>1</w:t>
                    </w:r>
                    <w:r>
                      <w:rPr>
                        <w:rFonts w:hint="default" w:ascii="Nimbus Roman No9 L" w:hAnsi="Nimbus Roman No9 L" w:cs="Nimbus Roman No9 L"/>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2B726E7D"/>
    <w:rsid w:val="2FD72B64"/>
    <w:rsid w:val="3AFF8F1C"/>
    <w:rsid w:val="4A9A3E91"/>
    <w:rsid w:val="4EFFE75D"/>
    <w:rsid w:val="57CB2770"/>
    <w:rsid w:val="5BF71C4E"/>
    <w:rsid w:val="5F768DB0"/>
    <w:rsid w:val="5FBF3289"/>
    <w:rsid w:val="6DDFDC05"/>
    <w:rsid w:val="6FBD6D1B"/>
    <w:rsid w:val="7BBE105B"/>
    <w:rsid w:val="9BFB2616"/>
    <w:rsid w:val="A7F07B11"/>
    <w:rsid w:val="AEB2D4FF"/>
    <w:rsid w:val="B3EBB647"/>
    <w:rsid w:val="B57D09CB"/>
    <w:rsid w:val="B9FA6ACC"/>
    <w:rsid w:val="BE311BE9"/>
    <w:rsid w:val="ED5C3C30"/>
    <w:rsid w:val="F7B78980"/>
    <w:rsid w:val="F8F5FBC6"/>
    <w:rsid w:val="FDBD534D"/>
    <w:rsid w:val="FF6DD546"/>
    <w:rsid w:val="FF776184"/>
    <w:rsid w:val="FFBB4105"/>
    <w:rsid w:val="FFF5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2025-05-03T10:51:00Z</dcterms:created>
  <dc:creator>黄敏</dc:creator>
  <cp:lastModifiedBy>greatwall</cp:lastModifiedBy>
  <cp:lastPrinted>2025-09-17T08:48:00Z</cp:lastPrinted>
  <dcterms:modified xsi:type="dcterms:W3CDTF">2025-10-09T10:15:37Z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3DEE86C787134BB1ACC282F853D54270</vt:lpwstr>
  </property>
</Properties>
</file>