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AB79" w14:textId="77777777" w:rsidR="00153B45" w:rsidRPr="00153B45" w:rsidRDefault="00153B45" w:rsidP="00153B45">
      <w:r w:rsidRPr="00153B45">
        <w:rPr>
          <w:rFonts w:hint="eastAsia"/>
        </w:rPr>
        <w:t>附件1</w:t>
      </w:r>
    </w:p>
    <w:p w14:paraId="12B43D7E" w14:textId="77777777" w:rsidR="00153B45" w:rsidRPr="00153B45" w:rsidRDefault="00153B45" w:rsidP="00153B45">
      <w:pPr>
        <w:rPr>
          <w:rFonts w:hint="eastAsia"/>
        </w:rPr>
      </w:pPr>
      <w:r w:rsidRPr="00153B45">
        <w:rPr>
          <w:rFonts w:hint="eastAsia"/>
        </w:rPr>
        <w:t>嵊州市普通高中学校招聘优秀高校毕业生有关待遇一览表</w:t>
      </w:r>
    </w:p>
    <w:tbl>
      <w:tblPr>
        <w:tblW w:w="0" w:type="auto"/>
        <w:tblCellMar>
          <w:left w:w="0" w:type="dxa"/>
          <w:right w:w="0" w:type="dxa"/>
        </w:tblCellMar>
        <w:tblLook w:val="04A0" w:firstRow="1" w:lastRow="0" w:firstColumn="1" w:lastColumn="0" w:noHBand="0" w:noVBand="1"/>
      </w:tblPr>
      <w:tblGrid>
        <w:gridCol w:w="6045"/>
        <w:gridCol w:w="750"/>
        <w:gridCol w:w="902"/>
        <w:gridCol w:w="593"/>
      </w:tblGrid>
      <w:tr w:rsidR="00153B45" w:rsidRPr="00153B45" w14:paraId="72A34448" w14:textId="77777777">
        <w:trPr>
          <w:trHeight w:val="420"/>
        </w:trPr>
        <w:tc>
          <w:tcPr>
            <w:tcW w:w="0" w:type="auto"/>
            <w:tcBorders>
              <w:top w:val="single" w:sz="6" w:space="0" w:color="000000"/>
              <w:left w:val="single" w:sz="6" w:space="0" w:color="000000"/>
              <w:bottom w:val="single" w:sz="6" w:space="0" w:color="000000"/>
              <w:right w:val="single" w:sz="6" w:space="0" w:color="000000"/>
            </w:tcBorders>
            <w:tcMar>
              <w:top w:w="90" w:type="dxa"/>
              <w:left w:w="105" w:type="dxa"/>
              <w:bottom w:w="0" w:type="dxa"/>
              <w:right w:w="0" w:type="dxa"/>
            </w:tcMar>
            <w:hideMark/>
          </w:tcPr>
          <w:p w14:paraId="27A7BA0E" w14:textId="77777777" w:rsidR="00153B45" w:rsidRPr="00153B45" w:rsidRDefault="00153B45" w:rsidP="00153B45">
            <w:pPr>
              <w:rPr>
                <w:rFonts w:hint="eastAsia"/>
              </w:rPr>
            </w:pPr>
            <w:r w:rsidRPr="00153B45">
              <w:rPr>
                <w:rFonts w:hint="eastAsia"/>
              </w:rPr>
              <w:t>人才类别</w:t>
            </w:r>
          </w:p>
        </w:tc>
        <w:tc>
          <w:tcPr>
            <w:tcW w:w="0" w:type="auto"/>
            <w:tcBorders>
              <w:top w:val="single" w:sz="6" w:space="0" w:color="000000"/>
              <w:left w:val="nil"/>
              <w:bottom w:val="single" w:sz="6" w:space="0" w:color="000000"/>
              <w:right w:val="single" w:sz="6" w:space="0" w:color="000000"/>
            </w:tcBorders>
            <w:tcMar>
              <w:top w:w="90" w:type="dxa"/>
              <w:left w:w="105" w:type="dxa"/>
              <w:bottom w:w="0" w:type="dxa"/>
              <w:right w:w="0" w:type="dxa"/>
            </w:tcMar>
            <w:hideMark/>
          </w:tcPr>
          <w:p w14:paraId="68997629" w14:textId="77777777" w:rsidR="00153B45" w:rsidRPr="00153B45" w:rsidRDefault="00153B45" w:rsidP="00153B45">
            <w:pPr>
              <w:rPr>
                <w:rFonts w:hint="eastAsia"/>
              </w:rPr>
            </w:pPr>
            <w:proofErr w:type="gramStart"/>
            <w:r w:rsidRPr="00153B45">
              <w:rPr>
                <w:rFonts w:hint="eastAsia"/>
              </w:rPr>
              <w:t>房票补贴</w:t>
            </w:r>
            <w:proofErr w:type="gramEnd"/>
          </w:p>
        </w:tc>
        <w:tc>
          <w:tcPr>
            <w:tcW w:w="0" w:type="auto"/>
            <w:tcBorders>
              <w:top w:val="single" w:sz="6" w:space="0" w:color="000000"/>
              <w:left w:val="nil"/>
              <w:bottom w:val="single" w:sz="6" w:space="0" w:color="000000"/>
              <w:right w:val="single" w:sz="6" w:space="0" w:color="000000"/>
            </w:tcBorders>
            <w:tcMar>
              <w:top w:w="90" w:type="dxa"/>
              <w:left w:w="105" w:type="dxa"/>
              <w:bottom w:w="0" w:type="dxa"/>
              <w:right w:w="0" w:type="dxa"/>
            </w:tcMar>
            <w:hideMark/>
          </w:tcPr>
          <w:p w14:paraId="6257033F" w14:textId="77777777" w:rsidR="00153B45" w:rsidRPr="00153B45" w:rsidRDefault="00153B45" w:rsidP="00153B45">
            <w:pPr>
              <w:rPr>
                <w:rFonts w:hint="eastAsia"/>
              </w:rPr>
            </w:pPr>
            <w:r w:rsidRPr="00153B45">
              <w:rPr>
                <w:rFonts w:hint="eastAsia"/>
              </w:rPr>
              <w:t>安家补贴</w:t>
            </w:r>
          </w:p>
        </w:tc>
        <w:tc>
          <w:tcPr>
            <w:tcW w:w="0" w:type="auto"/>
            <w:tcBorders>
              <w:top w:val="single" w:sz="6" w:space="0" w:color="000000"/>
              <w:left w:val="nil"/>
              <w:bottom w:val="single" w:sz="6" w:space="0" w:color="000000"/>
              <w:right w:val="single" w:sz="6" w:space="0" w:color="000000"/>
            </w:tcBorders>
            <w:tcMar>
              <w:top w:w="90" w:type="dxa"/>
              <w:left w:w="105" w:type="dxa"/>
              <w:bottom w:w="0" w:type="dxa"/>
              <w:right w:w="0" w:type="dxa"/>
            </w:tcMar>
            <w:hideMark/>
          </w:tcPr>
          <w:p w14:paraId="3F24677F" w14:textId="77777777" w:rsidR="00153B45" w:rsidRPr="00153B45" w:rsidRDefault="00153B45" w:rsidP="00153B45">
            <w:pPr>
              <w:rPr>
                <w:rFonts w:hint="eastAsia"/>
              </w:rPr>
            </w:pPr>
            <w:r w:rsidRPr="00153B45">
              <w:rPr>
                <w:rFonts w:hint="eastAsia"/>
              </w:rPr>
              <w:t>人才奖励</w:t>
            </w:r>
          </w:p>
        </w:tc>
      </w:tr>
      <w:tr w:rsidR="00153B45" w:rsidRPr="00153B45" w14:paraId="0D5999B0" w14:textId="77777777">
        <w:trPr>
          <w:trHeight w:val="2850"/>
        </w:trPr>
        <w:tc>
          <w:tcPr>
            <w:tcW w:w="0" w:type="auto"/>
            <w:tcBorders>
              <w:top w:val="nil"/>
              <w:left w:val="single" w:sz="6" w:space="0" w:color="000000"/>
              <w:bottom w:val="single" w:sz="6" w:space="0" w:color="000000"/>
              <w:right w:val="single" w:sz="6" w:space="0" w:color="000000"/>
            </w:tcBorders>
            <w:tcMar>
              <w:top w:w="90" w:type="dxa"/>
              <w:left w:w="105" w:type="dxa"/>
              <w:bottom w:w="0" w:type="dxa"/>
              <w:right w:w="0" w:type="dxa"/>
            </w:tcMar>
            <w:vAlign w:val="center"/>
            <w:hideMark/>
          </w:tcPr>
          <w:p w14:paraId="7C7F737E" w14:textId="77777777" w:rsidR="00153B45" w:rsidRPr="00153B45" w:rsidRDefault="00153B45" w:rsidP="00153B45">
            <w:pPr>
              <w:rPr>
                <w:rFonts w:hint="eastAsia"/>
              </w:rPr>
            </w:pPr>
            <w:r w:rsidRPr="00153B45">
              <w:rPr>
                <w:rFonts w:hint="eastAsia"/>
              </w:rPr>
              <w:t>1.在浙江省参加高考，并被C9 联盟高校（除清华大学、北京大学外）、中国人民大学、北京师范大学、华东师范大学录取的本科及硕士研究生和浙江师范大学录取的硕士研究生（硕士毕业生，本科要求学校同上述学校；文理分科时为文科全省前200位、理科全省前600位，综合招生改革后的</w:t>
            </w:r>
            <w:proofErr w:type="gramStart"/>
            <w:r w:rsidRPr="00153B45">
              <w:rPr>
                <w:rFonts w:hint="eastAsia"/>
              </w:rPr>
              <w:t>普通类前800位</w:t>
            </w:r>
            <w:proofErr w:type="gramEnd"/>
            <w:r w:rsidRPr="00153B45">
              <w:rPr>
                <w:rFonts w:hint="eastAsia"/>
              </w:rPr>
              <w:t>除外）。</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407E93FF" w14:textId="77777777" w:rsidR="00153B45" w:rsidRPr="00153B45" w:rsidRDefault="00153B45" w:rsidP="00153B45">
            <w:pPr>
              <w:rPr>
                <w:rFonts w:hint="eastAsia"/>
              </w:rPr>
            </w:pPr>
            <w:r w:rsidRPr="00153B45">
              <w:rPr>
                <w:rFonts w:hint="eastAsia"/>
              </w:rPr>
              <w:t>硕士15万本科10万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530074C7" w14:textId="77777777" w:rsidR="00153B45" w:rsidRPr="00153B45" w:rsidRDefault="00153B45" w:rsidP="00153B45">
            <w:pPr>
              <w:rPr>
                <w:rFonts w:hint="eastAsia"/>
              </w:rPr>
            </w:pPr>
            <w:r w:rsidRPr="00153B45">
              <w:rPr>
                <w:rFonts w:hint="eastAsia"/>
              </w:rPr>
              <w:t>硕士10万</w:t>
            </w:r>
          </w:p>
          <w:p w14:paraId="538CD9A6" w14:textId="77777777" w:rsidR="00153B45" w:rsidRPr="00153B45" w:rsidRDefault="00153B45" w:rsidP="00153B45">
            <w:pPr>
              <w:rPr>
                <w:rFonts w:hint="eastAsia"/>
              </w:rPr>
            </w:pPr>
            <w:r w:rsidRPr="00153B45">
              <w:rPr>
                <w:rFonts w:hint="eastAsia"/>
              </w:rPr>
              <w:t>（其中浙师大硕士5万）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5D868999" w14:textId="77777777" w:rsidR="00153B45" w:rsidRPr="00153B45" w:rsidRDefault="00153B45" w:rsidP="00153B45">
            <w:pPr>
              <w:rPr>
                <w:rFonts w:hint="eastAsia"/>
              </w:rPr>
            </w:pPr>
            <w:r w:rsidRPr="00153B45">
              <w:rPr>
                <w:rFonts w:hint="eastAsia"/>
              </w:rPr>
              <w:t>5-10万/年</w:t>
            </w:r>
          </w:p>
        </w:tc>
      </w:tr>
      <w:tr w:rsidR="00153B45" w:rsidRPr="00153B45" w14:paraId="687E876D" w14:textId="77777777">
        <w:trPr>
          <w:trHeight w:val="2535"/>
        </w:trPr>
        <w:tc>
          <w:tcPr>
            <w:tcW w:w="0" w:type="auto"/>
            <w:tcBorders>
              <w:top w:val="nil"/>
              <w:left w:val="single" w:sz="6" w:space="0" w:color="000000"/>
              <w:bottom w:val="single" w:sz="6" w:space="0" w:color="000000"/>
              <w:right w:val="single" w:sz="6" w:space="0" w:color="000000"/>
            </w:tcBorders>
            <w:tcMar>
              <w:top w:w="90" w:type="dxa"/>
              <w:left w:w="105" w:type="dxa"/>
              <w:bottom w:w="0" w:type="dxa"/>
              <w:right w:w="0" w:type="dxa"/>
            </w:tcMar>
            <w:vAlign w:val="center"/>
            <w:hideMark/>
          </w:tcPr>
          <w:p w14:paraId="4169A604" w14:textId="77777777" w:rsidR="00153B45" w:rsidRPr="00153B45" w:rsidRDefault="00153B45" w:rsidP="00153B45">
            <w:pPr>
              <w:rPr>
                <w:rFonts w:hint="eastAsia"/>
              </w:rPr>
            </w:pPr>
            <w:r w:rsidRPr="00153B45">
              <w:rPr>
                <w:rFonts w:hint="eastAsia"/>
              </w:rPr>
              <w:t>2.在浙江省参加高考，文理分科时为文科全省前200位、理科全省前600位，综合招生改革后的</w:t>
            </w:r>
            <w:proofErr w:type="gramStart"/>
            <w:r w:rsidRPr="00153B45">
              <w:rPr>
                <w:rFonts w:hint="eastAsia"/>
              </w:rPr>
              <w:t>普通类前800位</w:t>
            </w:r>
            <w:proofErr w:type="gramEnd"/>
            <w:r w:rsidRPr="00153B45">
              <w:rPr>
                <w:rFonts w:hint="eastAsia"/>
              </w:rPr>
              <w:t>，并被C9 联盟高校（除清华大学、北京大学）和中国人民大学、北京师范大学、华东师范大学录取的本科及硕士研究生（硕士毕业生，本科要求学校同上述学校）。</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0D12C052" w14:textId="77777777" w:rsidR="00153B45" w:rsidRPr="00153B45" w:rsidRDefault="00153B45" w:rsidP="00153B45">
            <w:pPr>
              <w:rPr>
                <w:rFonts w:hint="eastAsia"/>
              </w:rPr>
            </w:pPr>
            <w:r w:rsidRPr="00153B45">
              <w:rPr>
                <w:rFonts w:hint="eastAsia"/>
              </w:rPr>
              <w:t>40万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2368CD9A" w14:textId="77777777" w:rsidR="00153B45" w:rsidRPr="00153B45" w:rsidRDefault="00153B45" w:rsidP="00153B45">
            <w:pPr>
              <w:rPr>
                <w:rFonts w:hint="eastAsia"/>
              </w:rPr>
            </w:pPr>
            <w:r w:rsidRPr="00153B45">
              <w:rPr>
                <w:rFonts w:hint="eastAsia"/>
              </w:rPr>
              <w:t>硕士10万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06A44F30" w14:textId="77777777" w:rsidR="00153B45" w:rsidRPr="00153B45" w:rsidRDefault="00153B45" w:rsidP="00153B45">
            <w:pPr>
              <w:rPr>
                <w:rFonts w:hint="eastAsia"/>
              </w:rPr>
            </w:pPr>
            <w:r w:rsidRPr="00153B45">
              <w:rPr>
                <w:rFonts w:hint="eastAsia"/>
              </w:rPr>
              <w:t>10-15万/年</w:t>
            </w:r>
          </w:p>
        </w:tc>
      </w:tr>
      <w:tr w:rsidR="00153B45" w:rsidRPr="00153B45" w14:paraId="0548F139" w14:textId="77777777">
        <w:trPr>
          <w:trHeight w:val="765"/>
        </w:trPr>
        <w:tc>
          <w:tcPr>
            <w:tcW w:w="0" w:type="auto"/>
            <w:tcBorders>
              <w:top w:val="nil"/>
              <w:left w:val="single" w:sz="6" w:space="0" w:color="000000"/>
              <w:bottom w:val="single" w:sz="6" w:space="0" w:color="000000"/>
              <w:right w:val="single" w:sz="6" w:space="0" w:color="000000"/>
            </w:tcBorders>
            <w:tcMar>
              <w:top w:w="90" w:type="dxa"/>
              <w:left w:w="105" w:type="dxa"/>
              <w:bottom w:w="0" w:type="dxa"/>
              <w:right w:w="0" w:type="dxa"/>
            </w:tcMar>
            <w:hideMark/>
          </w:tcPr>
          <w:p w14:paraId="591E5A21" w14:textId="77777777" w:rsidR="00153B45" w:rsidRPr="00153B45" w:rsidRDefault="00153B45" w:rsidP="00153B45">
            <w:pPr>
              <w:rPr>
                <w:rFonts w:hint="eastAsia"/>
              </w:rPr>
            </w:pPr>
            <w:r w:rsidRPr="00153B45">
              <w:rPr>
                <w:rFonts w:hint="eastAsia"/>
              </w:rPr>
              <w:t>3.清华、北大本科及硕士研究生（本科非清华、北大）。</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7C7495A7" w14:textId="77777777" w:rsidR="00153B45" w:rsidRPr="00153B45" w:rsidRDefault="00153B45" w:rsidP="00153B45">
            <w:pPr>
              <w:rPr>
                <w:rFonts w:hint="eastAsia"/>
              </w:rPr>
            </w:pPr>
            <w:r w:rsidRPr="00153B45">
              <w:rPr>
                <w:rFonts w:hint="eastAsia"/>
              </w:rPr>
              <w:t>50万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1F9E1690" w14:textId="77777777" w:rsidR="00153B45" w:rsidRPr="00153B45" w:rsidRDefault="00153B45" w:rsidP="00153B45">
            <w:pPr>
              <w:rPr>
                <w:rFonts w:hint="eastAsia"/>
              </w:rPr>
            </w:pPr>
            <w:r w:rsidRPr="00153B45">
              <w:rPr>
                <w:rFonts w:hint="eastAsia"/>
              </w:rPr>
              <w:t>硕士10万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0ED46590" w14:textId="77777777" w:rsidR="00153B45" w:rsidRPr="00153B45" w:rsidRDefault="00153B45" w:rsidP="00153B45">
            <w:pPr>
              <w:rPr>
                <w:rFonts w:hint="eastAsia"/>
              </w:rPr>
            </w:pPr>
            <w:r w:rsidRPr="00153B45">
              <w:rPr>
                <w:rFonts w:hint="eastAsia"/>
              </w:rPr>
              <w:t>15-20万/年</w:t>
            </w:r>
          </w:p>
        </w:tc>
      </w:tr>
      <w:tr w:rsidR="00153B45" w:rsidRPr="00153B45" w14:paraId="23D9A460" w14:textId="77777777">
        <w:trPr>
          <w:trHeight w:val="1905"/>
        </w:trPr>
        <w:tc>
          <w:tcPr>
            <w:tcW w:w="0" w:type="auto"/>
            <w:tcBorders>
              <w:top w:val="nil"/>
              <w:left w:val="single" w:sz="6" w:space="0" w:color="000000"/>
              <w:bottom w:val="single" w:sz="6" w:space="0" w:color="000000"/>
              <w:right w:val="single" w:sz="6" w:space="0" w:color="000000"/>
            </w:tcBorders>
            <w:tcMar>
              <w:top w:w="90" w:type="dxa"/>
              <w:left w:w="105" w:type="dxa"/>
              <w:bottom w:w="0" w:type="dxa"/>
              <w:right w:w="0" w:type="dxa"/>
            </w:tcMar>
            <w:hideMark/>
          </w:tcPr>
          <w:p w14:paraId="5A5ADC1E" w14:textId="77777777" w:rsidR="00153B45" w:rsidRPr="00153B45" w:rsidRDefault="00153B45" w:rsidP="00153B45">
            <w:pPr>
              <w:rPr>
                <w:rFonts w:hint="eastAsia"/>
              </w:rPr>
            </w:pPr>
            <w:r w:rsidRPr="00153B45">
              <w:rPr>
                <w:rFonts w:hint="eastAsia"/>
              </w:rPr>
              <w:t>4.清华、北大硕士研究生（本科也为清华、北大）、其他“双一流”高校（其中一流学科建</w:t>
            </w:r>
          </w:p>
          <w:p w14:paraId="6ABB3E84" w14:textId="77777777" w:rsidR="00153B45" w:rsidRPr="00153B45" w:rsidRDefault="00153B45" w:rsidP="00153B45">
            <w:pPr>
              <w:rPr>
                <w:rFonts w:hint="eastAsia"/>
              </w:rPr>
            </w:pPr>
            <w:r w:rsidRPr="00153B45">
              <w:rPr>
                <w:rFonts w:hint="eastAsia"/>
              </w:rPr>
              <w:t>设高校仅限于对应建设学科）、原“985”“211” 高校及国外知名高校的博士研究生(本</w:t>
            </w:r>
            <w:proofErr w:type="gramStart"/>
            <w:r w:rsidRPr="00153B45">
              <w:rPr>
                <w:rFonts w:hint="eastAsia"/>
              </w:rPr>
              <w:t>或硕阶段</w:t>
            </w:r>
            <w:proofErr w:type="gramEnd"/>
            <w:r w:rsidRPr="00153B45">
              <w:rPr>
                <w:rFonts w:hint="eastAsia"/>
              </w:rPr>
              <w:t>要求学校同上述学校)。</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2C5A4311" w14:textId="77777777" w:rsidR="00153B45" w:rsidRPr="00153B45" w:rsidRDefault="00153B45" w:rsidP="00153B45">
            <w:pPr>
              <w:rPr>
                <w:rFonts w:hint="eastAsia"/>
              </w:rPr>
            </w:pPr>
            <w:r w:rsidRPr="00153B45">
              <w:rPr>
                <w:rFonts w:hint="eastAsia"/>
              </w:rPr>
              <w:t>70万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1DCBB959" w14:textId="77777777" w:rsidR="00153B45" w:rsidRPr="00153B45" w:rsidRDefault="00153B45" w:rsidP="00153B45">
            <w:pPr>
              <w:rPr>
                <w:rFonts w:hint="eastAsia"/>
              </w:rPr>
            </w:pPr>
            <w:r w:rsidRPr="00153B45">
              <w:rPr>
                <w:rFonts w:hint="eastAsia"/>
              </w:rPr>
              <w:t>博士15万硕士10万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2B923A77" w14:textId="77777777" w:rsidR="00153B45" w:rsidRPr="00153B45" w:rsidRDefault="00153B45" w:rsidP="00153B45">
            <w:pPr>
              <w:rPr>
                <w:rFonts w:hint="eastAsia"/>
              </w:rPr>
            </w:pPr>
            <w:r w:rsidRPr="00153B45">
              <w:rPr>
                <w:rFonts w:hint="eastAsia"/>
              </w:rPr>
              <w:t>20-25万/年</w:t>
            </w:r>
          </w:p>
        </w:tc>
      </w:tr>
      <w:tr w:rsidR="00153B45" w:rsidRPr="00153B45" w14:paraId="4F87A548" w14:textId="77777777">
        <w:trPr>
          <w:trHeight w:val="1005"/>
        </w:trPr>
        <w:tc>
          <w:tcPr>
            <w:tcW w:w="0" w:type="auto"/>
            <w:tcBorders>
              <w:top w:val="nil"/>
              <w:left w:val="single" w:sz="6" w:space="0" w:color="000000"/>
              <w:bottom w:val="single" w:sz="6" w:space="0" w:color="000000"/>
              <w:right w:val="single" w:sz="6" w:space="0" w:color="000000"/>
            </w:tcBorders>
            <w:tcMar>
              <w:top w:w="90" w:type="dxa"/>
              <w:left w:w="105" w:type="dxa"/>
              <w:bottom w:w="0" w:type="dxa"/>
              <w:right w:w="0" w:type="dxa"/>
            </w:tcMar>
            <w:vAlign w:val="center"/>
            <w:hideMark/>
          </w:tcPr>
          <w:p w14:paraId="6F83B2BD" w14:textId="77777777" w:rsidR="00153B45" w:rsidRPr="00153B45" w:rsidRDefault="00153B45" w:rsidP="00153B45">
            <w:pPr>
              <w:rPr>
                <w:rFonts w:hint="eastAsia"/>
              </w:rPr>
            </w:pPr>
            <w:r w:rsidRPr="00153B45">
              <w:rPr>
                <w:rFonts w:hint="eastAsia"/>
              </w:rPr>
              <w:t>5.清华、北大博士研究生（</w:t>
            </w:r>
            <w:proofErr w:type="gramStart"/>
            <w:r w:rsidRPr="00153B45">
              <w:rPr>
                <w:rFonts w:hint="eastAsia"/>
              </w:rPr>
              <w:t>本硕阶段</w:t>
            </w:r>
            <w:proofErr w:type="gramEnd"/>
            <w:r w:rsidRPr="00153B45">
              <w:rPr>
                <w:rFonts w:hint="eastAsia"/>
              </w:rPr>
              <w:t>均要求为世界一流大学建设高校、原985高校）。</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2A6D01E2" w14:textId="77777777" w:rsidR="00153B45" w:rsidRPr="00153B45" w:rsidRDefault="00153B45" w:rsidP="00153B45">
            <w:pPr>
              <w:rPr>
                <w:rFonts w:hint="eastAsia"/>
              </w:rPr>
            </w:pPr>
            <w:r w:rsidRPr="00153B45">
              <w:rPr>
                <w:rFonts w:hint="eastAsia"/>
              </w:rPr>
              <w:t>105万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32EE1371" w14:textId="77777777" w:rsidR="00153B45" w:rsidRPr="00153B45" w:rsidRDefault="00153B45" w:rsidP="00153B45">
            <w:pPr>
              <w:rPr>
                <w:rFonts w:hint="eastAsia"/>
              </w:rPr>
            </w:pPr>
            <w:r w:rsidRPr="00153B45">
              <w:rPr>
                <w:rFonts w:hint="eastAsia"/>
              </w:rPr>
              <w:t>博士15万</w:t>
            </w:r>
          </w:p>
        </w:tc>
        <w:tc>
          <w:tcPr>
            <w:tcW w:w="0" w:type="auto"/>
            <w:tcBorders>
              <w:top w:val="nil"/>
              <w:left w:val="nil"/>
              <w:bottom w:val="single" w:sz="6" w:space="0" w:color="000000"/>
              <w:right w:val="single" w:sz="6" w:space="0" w:color="000000"/>
            </w:tcBorders>
            <w:tcMar>
              <w:top w:w="90" w:type="dxa"/>
              <w:left w:w="105" w:type="dxa"/>
              <w:bottom w:w="0" w:type="dxa"/>
              <w:right w:w="0" w:type="dxa"/>
            </w:tcMar>
            <w:vAlign w:val="center"/>
            <w:hideMark/>
          </w:tcPr>
          <w:p w14:paraId="726CB5CE" w14:textId="77777777" w:rsidR="00153B45" w:rsidRPr="00153B45" w:rsidRDefault="00153B45" w:rsidP="00153B45">
            <w:pPr>
              <w:rPr>
                <w:rFonts w:hint="eastAsia"/>
              </w:rPr>
            </w:pPr>
            <w:r w:rsidRPr="00153B45">
              <w:rPr>
                <w:rFonts w:hint="eastAsia"/>
              </w:rPr>
              <w:t>25-30万/年</w:t>
            </w:r>
          </w:p>
        </w:tc>
      </w:tr>
    </w:tbl>
    <w:p w14:paraId="21DCA854" w14:textId="77777777" w:rsidR="00153B45" w:rsidRPr="00153B45" w:rsidRDefault="00153B45" w:rsidP="00153B45">
      <w:pPr>
        <w:rPr>
          <w:rFonts w:hint="eastAsia"/>
        </w:rPr>
      </w:pPr>
      <w:r w:rsidRPr="00153B45">
        <w:rPr>
          <w:rFonts w:hint="eastAsia"/>
        </w:rPr>
        <w:t>注：1.在享有同类公办教师待遇基础上，享受上述人才待遇。</w:t>
      </w:r>
    </w:p>
    <w:p w14:paraId="29326AF2" w14:textId="77777777" w:rsidR="00153B45" w:rsidRPr="00153B45" w:rsidRDefault="00153B45" w:rsidP="00153B45">
      <w:pPr>
        <w:rPr>
          <w:rFonts w:hint="eastAsia"/>
        </w:rPr>
      </w:pPr>
      <w:r w:rsidRPr="00153B45">
        <w:rPr>
          <w:rFonts w:hint="eastAsia"/>
        </w:rPr>
        <w:t xml:space="preserve">2.以上涉及的奖励（补助）事项，与我市现行人才政策中存在重复的，按照“就高原则” </w:t>
      </w:r>
      <w:r w:rsidRPr="00153B45">
        <w:rPr>
          <w:rFonts w:hint="eastAsia"/>
        </w:rPr>
        <w:lastRenderedPageBreak/>
        <w:t>享受。</w:t>
      </w:r>
    </w:p>
    <w:p w14:paraId="0E3D83E2" w14:textId="77777777" w:rsidR="00153B45" w:rsidRPr="00153B45" w:rsidRDefault="00153B45" w:rsidP="00153B45">
      <w:pPr>
        <w:rPr>
          <w:rFonts w:hint="eastAsia"/>
        </w:rPr>
      </w:pPr>
      <w:r w:rsidRPr="00153B45">
        <w:rPr>
          <w:rFonts w:hint="eastAsia"/>
        </w:rPr>
        <w:t>3.根据我市现行人才政策，除上述人才类别外，引进的博士，给予</w:t>
      </w:r>
      <w:proofErr w:type="gramStart"/>
      <w:r w:rsidRPr="00153B45">
        <w:rPr>
          <w:rFonts w:hint="eastAsia"/>
        </w:rPr>
        <w:t>60万元房票补贴</w:t>
      </w:r>
      <w:proofErr w:type="gramEnd"/>
      <w:r w:rsidRPr="00153B45">
        <w:rPr>
          <w:rFonts w:hint="eastAsia"/>
        </w:rPr>
        <w:t>、15 万元安家补贴；引进的“双一流”高校硕士，给予10万元安家补贴。</w:t>
      </w:r>
    </w:p>
    <w:p w14:paraId="68F930E4" w14:textId="77777777" w:rsidR="00153B45" w:rsidRPr="00153B45" w:rsidRDefault="00153B45" w:rsidP="00153B45">
      <w:pPr>
        <w:rPr>
          <w:rFonts w:hint="eastAsia"/>
        </w:rPr>
      </w:pPr>
      <w:r w:rsidRPr="00153B45">
        <w:rPr>
          <w:rFonts w:hint="eastAsia"/>
        </w:rPr>
        <w:t>4.C9联盟高校名单：北京大学、清华大学、浙江大学、复旦大学、上海交通大学、南京大学、中国科学技术大学、西安交通大学、哈尔滨工业大学。</w:t>
      </w:r>
    </w:p>
    <w:p w14:paraId="3AD59915" w14:textId="77777777" w:rsidR="00153B45" w:rsidRPr="00153B45" w:rsidRDefault="00153B45" w:rsidP="00153B45">
      <w:pPr>
        <w:rPr>
          <w:rFonts w:hint="eastAsia"/>
        </w:rPr>
      </w:pPr>
      <w:r w:rsidRPr="00153B45">
        <w:rPr>
          <w:rFonts w:hint="eastAsia"/>
        </w:rPr>
        <w:t>嵊州市招聘普通高中高层次学科竞赛教练和业</w:t>
      </w:r>
      <w:proofErr w:type="gramStart"/>
      <w:r w:rsidRPr="00153B45">
        <w:rPr>
          <w:rFonts w:hint="eastAsia"/>
        </w:rPr>
        <w:t>训单位</w:t>
      </w:r>
      <w:proofErr w:type="gramEnd"/>
      <w:r w:rsidRPr="00153B45">
        <w:rPr>
          <w:rFonts w:hint="eastAsia"/>
        </w:rPr>
        <w:t>高水平竞技教练员有关待遇一览表</w:t>
      </w:r>
    </w:p>
    <w:tbl>
      <w:tblPr>
        <w:tblW w:w="0" w:type="auto"/>
        <w:tblCellMar>
          <w:left w:w="0" w:type="dxa"/>
          <w:right w:w="0" w:type="dxa"/>
        </w:tblCellMar>
        <w:tblLook w:val="04A0" w:firstRow="1" w:lastRow="0" w:firstColumn="1" w:lastColumn="0" w:noHBand="0" w:noVBand="1"/>
      </w:tblPr>
      <w:tblGrid>
        <w:gridCol w:w="607"/>
        <w:gridCol w:w="3439"/>
        <w:gridCol w:w="1334"/>
        <w:gridCol w:w="1295"/>
        <w:gridCol w:w="763"/>
        <w:gridCol w:w="852"/>
      </w:tblGrid>
      <w:tr w:rsidR="00153B45" w:rsidRPr="00153B45" w14:paraId="40038FD8" w14:textId="77777777">
        <w:trPr>
          <w:trHeight w:val="585"/>
        </w:trPr>
        <w:tc>
          <w:tcPr>
            <w:tcW w:w="0" w:type="auto"/>
            <w:gridSpan w:val="3"/>
            <w:tcBorders>
              <w:top w:val="single" w:sz="6" w:space="0" w:color="000000"/>
              <w:left w:val="single" w:sz="6" w:space="0" w:color="000000"/>
              <w:bottom w:val="single" w:sz="6" w:space="0" w:color="000000"/>
              <w:right w:val="single" w:sz="6" w:space="0" w:color="000000"/>
            </w:tcBorders>
            <w:tcMar>
              <w:top w:w="30" w:type="dxa"/>
              <w:left w:w="105" w:type="dxa"/>
              <w:bottom w:w="0" w:type="dxa"/>
              <w:right w:w="0" w:type="dxa"/>
            </w:tcMar>
            <w:vAlign w:val="center"/>
            <w:hideMark/>
          </w:tcPr>
          <w:p w14:paraId="2F5E96F1" w14:textId="77777777" w:rsidR="00153B45" w:rsidRPr="00153B45" w:rsidRDefault="00153B45" w:rsidP="00153B45">
            <w:pPr>
              <w:rPr>
                <w:rFonts w:hint="eastAsia"/>
              </w:rPr>
            </w:pPr>
            <w:r w:rsidRPr="00153B45">
              <w:rPr>
                <w:rFonts w:hint="eastAsia"/>
              </w:rPr>
              <w:t>人才类别</w:t>
            </w:r>
          </w:p>
        </w:tc>
        <w:tc>
          <w:tcPr>
            <w:tcW w:w="0" w:type="auto"/>
            <w:tcBorders>
              <w:top w:val="single" w:sz="6" w:space="0" w:color="000000"/>
              <w:left w:val="nil"/>
              <w:bottom w:val="single" w:sz="6" w:space="0" w:color="000000"/>
              <w:right w:val="single" w:sz="6" w:space="0" w:color="000000"/>
            </w:tcBorders>
            <w:tcMar>
              <w:top w:w="30" w:type="dxa"/>
              <w:left w:w="105" w:type="dxa"/>
              <w:bottom w:w="0" w:type="dxa"/>
              <w:right w:w="0" w:type="dxa"/>
            </w:tcMar>
            <w:vAlign w:val="center"/>
            <w:hideMark/>
          </w:tcPr>
          <w:p w14:paraId="5AD16CFF" w14:textId="77777777" w:rsidR="00153B45" w:rsidRPr="00153B45" w:rsidRDefault="00153B45" w:rsidP="00153B45">
            <w:pPr>
              <w:rPr>
                <w:rFonts w:hint="eastAsia"/>
              </w:rPr>
            </w:pPr>
            <w:proofErr w:type="gramStart"/>
            <w:r w:rsidRPr="00153B45">
              <w:rPr>
                <w:rFonts w:hint="eastAsia"/>
              </w:rPr>
              <w:t>房票补贴</w:t>
            </w:r>
            <w:proofErr w:type="gramEnd"/>
          </w:p>
        </w:tc>
        <w:tc>
          <w:tcPr>
            <w:tcW w:w="0" w:type="auto"/>
            <w:tcBorders>
              <w:top w:val="single" w:sz="6" w:space="0" w:color="000000"/>
              <w:left w:val="nil"/>
              <w:bottom w:val="single" w:sz="6" w:space="0" w:color="000000"/>
              <w:right w:val="single" w:sz="6" w:space="0" w:color="000000"/>
            </w:tcBorders>
            <w:tcMar>
              <w:top w:w="30" w:type="dxa"/>
              <w:left w:w="105" w:type="dxa"/>
              <w:bottom w:w="0" w:type="dxa"/>
              <w:right w:w="0" w:type="dxa"/>
            </w:tcMar>
            <w:vAlign w:val="center"/>
            <w:hideMark/>
          </w:tcPr>
          <w:p w14:paraId="2F4F5D7C" w14:textId="77777777" w:rsidR="00153B45" w:rsidRPr="00153B45" w:rsidRDefault="00153B45" w:rsidP="00153B45">
            <w:pPr>
              <w:rPr>
                <w:rFonts w:hint="eastAsia"/>
              </w:rPr>
            </w:pPr>
            <w:r w:rsidRPr="00153B45">
              <w:rPr>
                <w:rFonts w:hint="eastAsia"/>
              </w:rPr>
              <w:t>安家补贴</w:t>
            </w:r>
          </w:p>
        </w:tc>
        <w:tc>
          <w:tcPr>
            <w:tcW w:w="0" w:type="auto"/>
            <w:tcBorders>
              <w:top w:val="single" w:sz="6" w:space="0" w:color="000000"/>
              <w:left w:val="nil"/>
              <w:bottom w:val="single" w:sz="6" w:space="0" w:color="000000"/>
              <w:right w:val="single" w:sz="6" w:space="0" w:color="000000"/>
            </w:tcBorders>
            <w:tcMar>
              <w:top w:w="30" w:type="dxa"/>
              <w:left w:w="105" w:type="dxa"/>
              <w:bottom w:w="0" w:type="dxa"/>
              <w:right w:w="0" w:type="dxa"/>
            </w:tcMar>
            <w:vAlign w:val="center"/>
            <w:hideMark/>
          </w:tcPr>
          <w:p w14:paraId="12C238A3" w14:textId="77777777" w:rsidR="00153B45" w:rsidRPr="00153B45" w:rsidRDefault="00153B45" w:rsidP="00153B45">
            <w:pPr>
              <w:rPr>
                <w:rFonts w:hint="eastAsia"/>
              </w:rPr>
            </w:pPr>
            <w:r w:rsidRPr="00153B45">
              <w:rPr>
                <w:rFonts w:hint="eastAsia"/>
              </w:rPr>
              <w:t>人才奖励</w:t>
            </w:r>
          </w:p>
        </w:tc>
      </w:tr>
      <w:tr w:rsidR="00153B45" w:rsidRPr="00153B45" w14:paraId="77E36C29" w14:textId="77777777">
        <w:trPr>
          <w:trHeight w:val="840"/>
        </w:trPr>
        <w:tc>
          <w:tcPr>
            <w:tcW w:w="0" w:type="auto"/>
            <w:vMerge w:val="restart"/>
            <w:tcBorders>
              <w:top w:val="nil"/>
              <w:left w:val="single" w:sz="6" w:space="0" w:color="000000"/>
              <w:bottom w:val="single" w:sz="6" w:space="0" w:color="000000"/>
              <w:right w:val="single" w:sz="6" w:space="0" w:color="000000"/>
            </w:tcBorders>
            <w:tcMar>
              <w:top w:w="30" w:type="dxa"/>
              <w:left w:w="105" w:type="dxa"/>
              <w:bottom w:w="0" w:type="dxa"/>
              <w:right w:w="0" w:type="dxa"/>
            </w:tcMar>
            <w:vAlign w:val="center"/>
            <w:hideMark/>
          </w:tcPr>
          <w:p w14:paraId="63B22802" w14:textId="77777777" w:rsidR="00153B45" w:rsidRPr="00153B45" w:rsidRDefault="00153B45" w:rsidP="00153B45">
            <w:pPr>
              <w:rPr>
                <w:rFonts w:hint="eastAsia"/>
              </w:rPr>
            </w:pPr>
            <w:r w:rsidRPr="00153B45">
              <w:rPr>
                <w:rFonts w:hint="eastAsia"/>
              </w:rPr>
              <w:t>高层次学科竞赛教练</w:t>
            </w:r>
          </w:p>
        </w:tc>
        <w:tc>
          <w:tcPr>
            <w:tcW w:w="0" w:type="auto"/>
            <w:vMerge w:val="restart"/>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44B5CD10" w14:textId="77777777" w:rsidR="00153B45" w:rsidRPr="00153B45" w:rsidRDefault="00153B45" w:rsidP="00153B45">
            <w:pPr>
              <w:rPr>
                <w:rFonts w:hint="eastAsia"/>
              </w:rPr>
            </w:pPr>
            <w:r w:rsidRPr="00153B45">
              <w:rPr>
                <w:rFonts w:hint="eastAsia"/>
              </w:rPr>
              <w:t>在职相应五大学科竞赛教练，具有本科及以上学历，副高及以上职称，从事相应学科竞赛辅导工作3年及以上（目前仍从事）且辅导学生获得全国</w:t>
            </w:r>
            <w:proofErr w:type="gramStart"/>
            <w:r w:rsidRPr="00153B45">
              <w:rPr>
                <w:rFonts w:hint="eastAsia"/>
              </w:rPr>
              <w:t>联赛省</w:t>
            </w:r>
            <w:proofErr w:type="gramEnd"/>
            <w:r w:rsidRPr="00153B45">
              <w:rPr>
                <w:rFonts w:hint="eastAsia"/>
              </w:rPr>
              <w:t>赛区一等奖，年龄要求45周岁以下</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0D88ADB7" w14:textId="77777777" w:rsidR="00153B45" w:rsidRPr="00153B45" w:rsidRDefault="00153B45" w:rsidP="00153B45">
            <w:pPr>
              <w:rPr>
                <w:rFonts w:hint="eastAsia"/>
              </w:rPr>
            </w:pPr>
            <w:r w:rsidRPr="00153B45">
              <w:rPr>
                <w:rFonts w:hint="eastAsia"/>
              </w:rPr>
              <w:t>1.辅导学生进入“竞赛强省” 省队的学科竞赛教练</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4F7D0339" w14:textId="77777777" w:rsidR="00153B45" w:rsidRPr="00153B45" w:rsidRDefault="00153B45" w:rsidP="00153B45">
            <w:pPr>
              <w:rPr>
                <w:rFonts w:hint="eastAsia"/>
              </w:rPr>
            </w:pPr>
            <w:r w:rsidRPr="00153B45">
              <w:rPr>
                <w:rFonts w:hint="eastAsia"/>
              </w:rPr>
              <w:t>40万</w:t>
            </w:r>
          </w:p>
        </w:tc>
        <w:tc>
          <w:tcPr>
            <w:tcW w:w="0" w:type="auto"/>
            <w:vMerge w:val="restart"/>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09F16EF6" w14:textId="77777777" w:rsidR="00153B45" w:rsidRPr="00153B45" w:rsidRDefault="00153B45" w:rsidP="00153B45">
            <w:pPr>
              <w:rPr>
                <w:rFonts w:hint="eastAsia"/>
              </w:rPr>
            </w:pPr>
            <w:r w:rsidRPr="00153B45">
              <w:rPr>
                <w:rFonts w:hint="eastAsia"/>
              </w:rPr>
              <w:t>10万</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0E3A9143" w14:textId="77777777" w:rsidR="00153B45" w:rsidRPr="00153B45" w:rsidRDefault="00153B45" w:rsidP="00153B45">
            <w:pPr>
              <w:rPr>
                <w:rFonts w:hint="eastAsia"/>
              </w:rPr>
            </w:pPr>
            <w:r w:rsidRPr="00153B45">
              <w:rPr>
                <w:rFonts w:hint="eastAsia"/>
              </w:rPr>
              <w:t>10-50万/年</w:t>
            </w:r>
          </w:p>
        </w:tc>
      </w:tr>
      <w:tr w:rsidR="00153B45" w:rsidRPr="00153B45" w14:paraId="0628982C" w14:textId="77777777">
        <w:trPr>
          <w:trHeight w:val="870"/>
        </w:trPr>
        <w:tc>
          <w:tcPr>
            <w:tcW w:w="0" w:type="auto"/>
            <w:vMerge/>
            <w:tcBorders>
              <w:top w:val="nil"/>
              <w:left w:val="single" w:sz="6" w:space="0" w:color="000000"/>
              <w:bottom w:val="single" w:sz="6" w:space="0" w:color="000000"/>
              <w:right w:val="single" w:sz="6" w:space="0" w:color="000000"/>
            </w:tcBorders>
            <w:vAlign w:val="center"/>
            <w:hideMark/>
          </w:tcPr>
          <w:p w14:paraId="6AB96344" w14:textId="77777777" w:rsidR="00153B45" w:rsidRPr="00153B45" w:rsidRDefault="00153B45" w:rsidP="00153B45"/>
        </w:tc>
        <w:tc>
          <w:tcPr>
            <w:tcW w:w="0" w:type="auto"/>
            <w:vMerge/>
            <w:tcBorders>
              <w:top w:val="nil"/>
              <w:left w:val="nil"/>
              <w:bottom w:val="single" w:sz="6" w:space="0" w:color="000000"/>
              <w:right w:val="single" w:sz="6" w:space="0" w:color="000000"/>
            </w:tcBorders>
            <w:vAlign w:val="center"/>
            <w:hideMark/>
          </w:tcPr>
          <w:p w14:paraId="65222A00"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6AB23D54" w14:textId="77777777" w:rsidR="00153B45" w:rsidRPr="00153B45" w:rsidRDefault="00153B45" w:rsidP="00153B45">
            <w:pPr>
              <w:rPr>
                <w:rFonts w:hint="eastAsia"/>
              </w:rPr>
            </w:pPr>
            <w:r w:rsidRPr="00153B45">
              <w:rPr>
                <w:rFonts w:hint="eastAsia"/>
              </w:rPr>
              <w:t>2.辅导学生获得相应学科全国竞赛总决赛二等奖的教练</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52E7BEF8" w14:textId="77777777" w:rsidR="00153B45" w:rsidRPr="00153B45" w:rsidRDefault="00153B45" w:rsidP="00153B45">
            <w:pPr>
              <w:rPr>
                <w:rFonts w:hint="eastAsia"/>
              </w:rPr>
            </w:pPr>
            <w:r w:rsidRPr="00153B45">
              <w:rPr>
                <w:rFonts w:hint="eastAsia"/>
              </w:rPr>
              <w:t>50万</w:t>
            </w:r>
          </w:p>
        </w:tc>
        <w:tc>
          <w:tcPr>
            <w:tcW w:w="0" w:type="auto"/>
            <w:vMerge/>
            <w:tcBorders>
              <w:top w:val="nil"/>
              <w:left w:val="nil"/>
              <w:bottom w:val="single" w:sz="6" w:space="0" w:color="000000"/>
              <w:right w:val="single" w:sz="6" w:space="0" w:color="000000"/>
            </w:tcBorders>
            <w:vAlign w:val="center"/>
            <w:hideMark/>
          </w:tcPr>
          <w:p w14:paraId="1F9608D0"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59DCC96F" w14:textId="77777777" w:rsidR="00153B45" w:rsidRPr="00153B45" w:rsidRDefault="00153B45" w:rsidP="00153B45">
            <w:pPr>
              <w:rPr>
                <w:rFonts w:hint="eastAsia"/>
              </w:rPr>
            </w:pPr>
            <w:r w:rsidRPr="00153B45">
              <w:rPr>
                <w:rFonts w:hint="eastAsia"/>
              </w:rPr>
              <w:t>20-60万/年</w:t>
            </w:r>
          </w:p>
        </w:tc>
      </w:tr>
      <w:tr w:rsidR="00153B45" w:rsidRPr="00153B45" w14:paraId="5AA28191" w14:textId="77777777">
        <w:trPr>
          <w:trHeight w:val="825"/>
        </w:trPr>
        <w:tc>
          <w:tcPr>
            <w:tcW w:w="0" w:type="auto"/>
            <w:vMerge/>
            <w:tcBorders>
              <w:top w:val="nil"/>
              <w:left w:val="single" w:sz="6" w:space="0" w:color="000000"/>
              <w:bottom w:val="single" w:sz="6" w:space="0" w:color="000000"/>
              <w:right w:val="single" w:sz="6" w:space="0" w:color="000000"/>
            </w:tcBorders>
            <w:vAlign w:val="center"/>
            <w:hideMark/>
          </w:tcPr>
          <w:p w14:paraId="5E62723A" w14:textId="77777777" w:rsidR="00153B45" w:rsidRPr="00153B45" w:rsidRDefault="00153B45" w:rsidP="00153B45"/>
        </w:tc>
        <w:tc>
          <w:tcPr>
            <w:tcW w:w="0" w:type="auto"/>
            <w:vMerge/>
            <w:tcBorders>
              <w:top w:val="nil"/>
              <w:left w:val="nil"/>
              <w:bottom w:val="single" w:sz="6" w:space="0" w:color="000000"/>
              <w:right w:val="single" w:sz="6" w:space="0" w:color="000000"/>
            </w:tcBorders>
            <w:vAlign w:val="center"/>
            <w:hideMark/>
          </w:tcPr>
          <w:p w14:paraId="01C4F54A"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7C02BFAB" w14:textId="77777777" w:rsidR="00153B45" w:rsidRPr="00153B45" w:rsidRDefault="00153B45" w:rsidP="00153B45">
            <w:pPr>
              <w:rPr>
                <w:rFonts w:hint="eastAsia"/>
              </w:rPr>
            </w:pPr>
            <w:r w:rsidRPr="00153B45">
              <w:rPr>
                <w:rFonts w:hint="eastAsia"/>
              </w:rPr>
              <w:t>3.辅导学生获得相应学科全国竞赛总决赛一等奖的教练</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107FEE46" w14:textId="77777777" w:rsidR="00153B45" w:rsidRPr="00153B45" w:rsidRDefault="00153B45" w:rsidP="00153B45">
            <w:pPr>
              <w:rPr>
                <w:rFonts w:hint="eastAsia"/>
              </w:rPr>
            </w:pPr>
            <w:r w:rsidRPr="00153B45">
              <w:rPr>
                <w:rFonts w:hint="eastAsia"/>
              </w:rPr>
              <w:t>60万</w:t>
            </w:r>
          </w:p>
        </w:tc>
        <w:tc>
          <w:tcPr>
            <w:tcW w:w="0" w:type="auto"/>
            <w:vMerge/>
            <w:tcBorders>
              <w:top w:val="nil"/>
              <w:left w:val="nil"/>
              <w:bottom w:val="single" w:sz="6" w:space="0" w:color="000000"/>
              <w:right w:val="single" w:sz="6" w:space="0" w:color="000000"/>
            </w:tcBorders>
            <w:vAlign w:val="center"/>
            <w:hideMark/>
          </w:tcPr>
          <w:p w14:paraId="16E4B43F"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5EE38CEE" w14:textId="77777777" w:rsidR="00153B45" w:rsidRPr="00153B45" w:rsidRDefault="00153B45" w:rsidP="00153B45">
            <w:pPr>
              <w:rPr>
                <w:rFonts w:hint="eastAsia"/>
              </w:rPr>
            </w:pPr>
            <w:r w:rsidRPr="00153B45">
              <w:rPr>
                <w:rFonts w:hint="eastAsia"/>
              </w:rPr>
              <w:t>30-70万/年</w:t>
            </w:r>
          </w:p>
        </w:tc>
      </w:tr>
      <w:tr w:rsidR="00153B45" w:rsidRPr="00153B45" w14:paraId="0FA9C095" w14:textId="77777777">
        <w:trPr>
          <w:trHeight w:val="870"/>
        </w:trPr>
        <w:tc>
          <w:tcPr>
            <w:tcW w:w="0" w:type="auto"/>
            <w:vMerge/>
            <w:tcBorders>
              <w:top w:val="nil"/>
              <w:left w:val="single" w:sz="6" w:space="0" w:color="000000"/>
              <w:bottom w:val="single" w:sz="6" w:space="0" w:color="000000"/>
              <w:right w:val="single" w:sz="6" w:space="0" w:color="000000"/>
            </w:tcBorders>
            <w:vAlign w:val="center"/>
            <w:hideMark/>
          </w:tcPr>
          <w:p w14:paraId="2751823A" w14:textId="77777777" w:rsidR="00153B45" w:rsidRPr="00153B45" w:rsidRDefault="00153B45" w:rsidP="00153B45"/>
        </w:tc>
        <w:tc>
          <w:tcPr>
            <w:tcW w:w="0" w:type="auto"/>
            <w:vMerge/>
            <w:tcBorders>
              <w:top w:val="nil"/>
              <w:left w:val="nil"/>
              <w:bottom w:val="single" w:sz="6" w:space="0" w:color="000000"/>
              <w:right w:val="single" w:sz="6" w:space="0" w:color="000000"/>
            </w:tcBorders>
            <w:vAlign w:val="center"/>
            <w:hideMark/>
          </w:tcPr>
          <w:p w14:paraId="7CFDA9C8"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2A675F22" w14:textId="77777777" w:rsidR="00153B45" w:rsidRPr="00153B45" w:rsidRDefault="00153B45" w:rsidP="00153B45">
            <w:pPr>
              <w:rPr>
                <w:rFonts w:hint="eastAsia"/>
              </w:rPr>
            </w:pPr>
            <w:r w:rsidRPr="00153B45">
              <w:rPr>
                <w:rFonts w:hint="eastAsia"/>
              </w:rPr>
              <w:t>4.辅导学生进入国家集训队的教练</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5AB97065" w14:textId="77777777" w:rsidR="00153B45" w:rsidRPr="00153B45" w:rsidRDefault="00153B45" w:rsidP="00153B45">
            <w:pPr>
              <w:rPr>
                <w:rFonts w:hint="eastAsia"/>
              </w:rPr>
            </w:pPr>
            <w:r w:rsidRPr="00153B45">
              <w:rPr>
                <w:rFonts w:hint="eastAsia"/>
              </w:rPr>
              <w:t>70万</w:t>
            </w:r>
          </w:p>
        </w:tc>
        <w:tc>
          <w:tcPr>
            <w:tcW w:w="0" w:type="auto"/>
            <w:vMerge/>
            <w:tcBorders>
              <w:top w:val="nil"/>
              <w:left w:val="nil"/>
              <w:bottom w:val="single" w:sz="6" w:space="0" w:color="000000"/>
              <w:right w:val="single" w:sz="6" w:space="0" w:color="000000"/>
            </w:tcBorders>
            <w:vAlign w:val="center"/>
            <w:hideMark/>
          </w:tcPr>
          <w:p w14:paraId="1719B2C1"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4FEB4458" w14:textId="77777777" w:rsidR="00153B45" w:rsidRPr="00153B45" w:rsidRDefault="00153B45" w:rsidP="00153B45">
            <w:pPr>
              <w:rPr>
                <w:rFonts w:hint="eastAsia"/>
              </w:rPr>
            </w:pPr>
            <w:r w:rsidRPr="00153B45">
              <w:rPr>
                <w:rFonts w:hint="eastAsia"/>
              </w:rPr>
              <w:t>60-100万/年</w:t>
            </w:r>
          </w:p>
        </w:tc>
      </w:tr>
      <w:tr w:rsidR="00153B45" w:rsidRPr="00153B45" w14:paraId="432A2293" w14:textId="77777777">
        <w:trPr>
          <w:trHeight w:val="960"/>
        </w:trPr>
        <w:tc>
          <w:tcPr>
            <w:tcW w:w="0" w:type="auto"/>
            <w:vMerge/>
            <w:tcBorders>
              <w:top w:val="nil"/>
              <w:left w:val="single" w:sz="6" w:space="0" w:color="000000"/>
              <w:bottom w:val="single" w:sz="6" w:space="0" w:color="000000"/>
              <w:right w:val="single" w:sz="6" w:space="0" w:color="000000"/>
            </w:tcBorders>
            <w:vAlign w:val="center"/>
            <w:hideMark/>
          </w:tcPr>
          <w:p w14:paraId="7E4DDB15" w14:textId="77777777" w:rsidR="00153B45" w:rsidRPr="00153B45" w:rsidRDefault="00153B45" w:rsidP="00153B45"/>
        </w:tc>
        <w:tc>
          <w:tcPr>
            <w:tcW w:w="0" w:type="auto"/>
            <w:vMerge w:val="restart"/>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0BDAB55C" w14:textId="77777777" w:rsidR="00153B45" w:rsidRPr="00153B45" w:rsidRDefault="00153B45" w:rsidP="00153B45">
            <w:pPr>
              <w:rPr>
                <w:rFonts w:hint="eastAsia"/>
              </w:rPr>
            </w:pPr>
            <w:r w:rsidRPr="00153B45">
              <w:rPr>
                <w:rFonts w:hint="eastAsia"/>
              </w:rPr>
              <w:t>高校优秀毕业生，</w:t>
            </w:r>
          </w:p>
          <w:p w14:paraId="606C404B" w14:textId="77777777" w:rsidR="00153B45" w:rsidRPr="00153B45" w:rsidRDefault="00153B45" w:rsidP="00153B45">
            <w:pPr>
              <w:rPr>
                <w:rFonts w:hint="eastAsia"/>
              </w:rPr>
            </w:pPr>
            <w:r w:rsidRPr="00153B45">
              <w:rPr>
                <w:rFonts w:hint="eastAsia"/>
              </w:rPr>
              <w:t>博士毕业生或</w:t>
            </w:r>
          </w:p>
          <w:p w14:paraId="33EB6E17" w14:textId="77777777" w:rsidR="00153B45" w:rsidRPr="00153B45" w:rsidRDefault="00153B45" w:rsidP="00153B45">
            <w:pPr>
              <w:rPr>
                <w:rFonts w:hint="eastAsia"/>
              </w:rPr>
            </w:pPr>
            <w:r w:rsidRPr="00153B45">
              <w:rPr>
                <w:rFonts w:hint="eastAsia"/>
              </w:rPr>
              <w:t>“985”高水平大学毕业的本科生、硕士生，年龄要求</w:t>
            </w:r>
          </w:p>
          <w:p w14:paraId="69EB30F5" w14:textId="77777777" w:rsidR="00153B45" w:rsidRPr="00153B45" w:rsidRDefault="00153B45" w:rsidP="00153B45">
            <w:pPr>
              <w:rPr>
                <w:rFonts w:hint="eastAsia"/>
              </w:rPr>
            </w:pPr>
            <w:r w:rsidRPr="00153B45">
              <w:rPr>
                <w:rFonts w:hint="eastAsia"/>
              </w:rPr>
              <w:lastRenderedPageBreak/>
              <w:t>35周岁以下</w:t>
            </w:r>
          </w:p>
        </w:tc>
        <w:tc>
          <w:tcPr>
            <w:tcW w:w="0" w:type="auto"/>
            <w:tcBorders>
              <w:top w:val="nil"/>
              <w:left w:val="nil"/>
              <w:bottom w:val="single" w:sz="6" w:space="0" w:color="000000"/>
              <w:right w:val="single" w:sz="6" w:space="0" w:color="000000"/>
            </w:tcBorders>
            <w:tcMar>
              <w:top w:w="30" w:type="dxa"/>
              <w:left w:w="105" w:type="dxa"/>
              <w:bottom w:w="0" w:type="dxa"/>
              <w:right w:w="0" w:type="dxa"/>
            </w:tcMar>
            <w:hideMark/>
          </w:tcPr>
          <w:p w14:paraId="7EC22794" w14:textId="77777777" w:rsidR="00153B45" w:rsidRPr="00153B45" w:rsidRDefault="00153B45" w:rsidP="00153B45">
            <w:pPr>
              <w:rPr>
                <w:rFonts w:hint="eastAsia"/>
              </w:rPr>
            </w:pPr>
            <w:r w:rsidRPr="00153B45">
              <w:rPr>
                <w:rFonts w:hint="eastAsia"/>
              </w:rPr>
              <w:lastRenderedPageBreak/>
              <w:t>1.在高中阶段曾获得学科竞赛全国联赛省级赛区二等奖的毕业生</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79754D47" w14:textId="77777777" w:rsidR="00153B45" w:rsidRPr="00153B45" w:rsidRDefault="00153B45" w:rsidP="00153B45">
            <w:pPr>
              <w:rPr>
                <w:rFonts w:hint="eastAsia"/>
              </w:rPr>
            </w:pPr>
            <w:r w:rsidRPr="00153B45">
              <w:rPr>
                <w:rFonts w:hint="eastAsia"/>
              </w:rPr>
              <w:t>20万</w:t>
            </w:r>
          </w:p>
        </w:tc>
        <w:tc>
          <w:tcPr>
            <w:tcW w:w="0" w:type="auto"/>
            <w:vMerge w:val="restart"/>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24228804" w14:textId="77777777" w:rsidR="00153B45" w:rsidRPr="00153B45" w:rsidRDefault="00153B45" w:rsidP="00153B45">
            <w:pPr>
              <w:rPr>
                <w:rFonts w:hint="eastAsia"/>
              </w:rPr>
            </w:pPr>
            <w:r w:rsidRPr="00153B45">
              <w:rPr>
                <w:rFonts w:hint="eastAsia"/>
              </w:rPr>
              <w:t>本科5万硕士10万博士15万</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5BC8D898" w14:textId="77777777" w:rsidR="00153B45" w:rsidRPr="00153B45" w:rsidRDefault="00153B45" w:rsidP="00153B45">
            <w:pPr>
              <w:rPr>
                <w:rFonts w:hint="eastAsia"/>
              </w:rPr>
            </w:pPr>
            <w:r w:rsidRPr="00153B45">
              <w:rPr>
                <w:rFonts w:hint="eastAsia"/>
              </w:rPr>
              <w:t>5-10万/年</w:t>
            </w:r>
          </w:p>
        </w:tc>
      </w:tr>
      <w:tr w:rsidR="00153B45" w:rsidRPr="00153B45" w14:paraId="0566A5E0" w14:textId="77777777">
        <w:trPr>
          <w:trHeight w:val="975"/>
        </w:trPr>
        <w:tc>
          <w:tcPr>
            <w:tcW w:w="0" w:type="auto"/>
            <w:vMerge/>
            <w:tcBorders>
              <w:top w:val="nil"/>
              <w:left w:val="single" w:sz="6" w:space="0" w:color="000000"/>
              <w:bottom w:val="single" w:sz="6" w:space="0" w:color="000000"/>
              <w:right w:val="single" w:sz="6" w:space="0" w:color="000000"/>
            </w:tcBorders>
            <w:vAlign w:val="center"/>
            <w:hideMark/>
          </w:tcPr>
          <w:p w14:paraId="427D35B2" w14:textId="77777777" w:rsidR="00153B45" w:rsidRPr="00153B45" w:rsidRDefault="00153B45" w:rsidP="00153B45"/>
        </w:tc>
        <w:tc>
          <w:tcPr>
            <w:tcW w:w="0" w:type="auto"/>
            <w:vMerge/>
            <w:tcBorders>
              <w:top w:val="nil"/>
              <w:left w:val="nil"/>
              <w:bottom w:val="single" w:sz="6" w:space="0" w:color="000000"/>
              <w:right w:val="single" w:sz="6" w:space="0" w:color="000000"/>
            </w:tcBorders>
            <w:vAlign w:val="center"/>
            <w:hideMark/>
          </w:tcPr>
          <w:p w14:paraId="5881D4C4"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hideMark/>
          </w:tcPr>
          <w:p w14:paraId="07CC3AA6" w14:textId="77777777" w:rsidR="00153B45" w:rsidRPr="00153B45" w:rsidRDefault="00153B45" w:rsidP="00153B45">
            <w:pPr>
              <w:rPr>
                <w:rFonts w:hint="eastAsia"/>
              </w:rPr>
            </w:pPr>
            <w:r w:rsidRPr="00153B45">
              <w:rPr>
                <w:rFonts w:hint="eastAsia"/>
              </w:rPr>
              <w:t>2.在高中阶段曾获得学科竞赛全国联赛省级赛区一等奖的毕业生</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40F2A4CE" w14:textId="77777777" w:rsidR="00153B45" w:rsidRPr="00153B45" w:rsidRDefault="00153B45" w:rsidP="00153B45">
            <w:pPr>
              <w:rPr>
                <w:rFonts w:hint="eastAsia"/>
              </w:rPr>
            </w:pPr>
            <w:r w:rsidRPr="00153B45">
              <w:rPr>
                <w:rFonts w:hint="eastAsia"/>
              </w:rPr>
              <w:t>30万</w:t>
            </w:r>
          </w:p>
        </w:tc>
        <w:tc>
          <w:tcPr>
            <w:tcW w:w="0" w:type="auto"/>
            <w:vMerge/>
            <w:tcBorders>
              <w:top w:val="nil"/>
              <w:left w:val="nil"/>
              <w:bottom w:val="single" w:sz="6" w:space="0" w:color="000000"/>
              <w:right w:val="single" w:sz="6" w:space="0" w:color="000000"/>
            </w:tcBorders>
            <w:vAlign w:val="center"/>
            <w:hideMark/>
          </w:tcPr>
          <w:p w14:paraId="37A95D03"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7761FE53" w14:textId="77777777" w:rsidR="00153B45" w:rsidRPr="00153B45" w:rsidRDefault="00153B45" w:rsidP="00153B45">
            <w:pPr>
              <w:rPr>
                <w:rFonts w:hint="eastAsia"/>
              </w:rPr>
            </w:pPr>
            <w:r w:rsidRPr="00153B45">
              <w:rPr>
                <w:rFonts w:hint="eastAsia"/>
              </w:rPr>
              <w:t>10-15万/年</w:t>
            </w:r>
          </w:p>
        </w:tc>
      </w:tr>
      <w:tr w:rsidR="00153B45" w:rsidRPr="00153B45" w14:paraId="3B0BAD25" w14:textId="77777777">
        <w:trPr>
          <w:trHeight w:val="900"/>
        </w:trPr>
        <w:tc>
          <w:tcPr>
            <w:tcW w:w="0" w:type="auto"/>
            <w:vMerge/>
            <w:tcBorders>
              <w:top w:val="nil"/>
              <w:left w:val="single" w:sz="6" w:space="0" w:color="000000"/>
              <w:bottom w:val="single" w:sz="6" w:space="0" w:color="000000"/>
              <w:right w:val="single" w:sz="6" w:space="0" w:color="000000"/>
            </w:tcBorders>
            <w:vAlign w:val="center"/>
            <w:hideMark/>
          </w:tcPr>
          <w:p w14:paraId="4DF62F42" w14:textId="77777777" w:rsidR="00153B45" w:rsidRPr="00153B45" w:rsidRDefault="00153B45" w:rsidP="00153B45"/>
        </w:tc>
        <w:tc>
          <w:tcPr>
            <w:tcW w:w="0" w:type="auto"/>
            <w:vMerge/>
            <w:tcBorders>
              <w:top w:val="nil"/>
              <w:left w:val="nil"/>
              <w:bottom w:val="single" w:sz="6" w:space="0" w:color="000000"/>
              <w:right w:val="single" w:sz="6" w:space="0" w:color="000000"/>
            </w:tcBorders>
            <w:vAlign w:val="center"/>
            <w:hideMark/>
          </w:tcPr>
          <w:p w14:paraId="787FC93F"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hideMark/>
          </w:tcPr>
          <w:p w14:paraId="595860A9" w14:textId="77777777" w:rsidR="00153B45" w:rsidRPr="00153B45" w:rsidRDefault="00153B45" w:rsidP="00153B45">
            <w:pPr>
              <w:rPr>
                <w:rFonts w:hint="eastAsia"/>
              </w:rPr>
            </w:pPr>
            <w:r w:rsidRPr="00153B45">
              <w:rPr>
                <w:rFonts w:hint="eastAsia"/>
              </w:rPr>
              <w:t>3.在高中阶段曾获得相应学科全国竞赛总决赛银牌的毕业生</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2E810717" w14:textId="77777777" w:rsidR="00153B45" w:rsidRPr="00153B45" w:rsidRDefault="00153B45" w:rsidP="00153B45">
            <w:pPr>
              <w:rPr>
                <w:rFonts w:hint="eastAsia"/>
              </w:rPr>
            </w:pPr>
            <w:r w:rsidRPr="00153B45">
              <w:rPr>
                <w:rFonts w:hint="eastAsia"/>
              </w:rPr>
              <w:t>40万</w:t>
            </w:r>
          </w:p>
        </w:tc>
        <w:tc>
          <w:tcPr>
            <w:tcW w:w="0" w:type="auto"/>
            <w:vMerge/>
            <w:tcBorders>
              <w:top w:val="nil"/>
              <w:left w:val="nil"/>
              <w:bottom w:val="single" w:sz="6" w:space="0" w:color="000000"/>
              <w:right w:val="single" w:sz="6" w:space="0" w:color="000000"/>
            </w:tcBorders>
            <w:vAlign w:val="center"/>
            <w:hideMark/>
          </w:tcPr>
          <w:p w14:paraId="26F9D313"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592351F3" w14:textId="77777777" w:rsidR="00153B45" w:rsidRPr="00153B45" w:rsidRDefault="00153B45" w:rsidP="00153B45">
            <w:pPr>
              <w:rPr>
                <w:rFonts w:hint="eastAsia"/>
              </w:rPr>
            </w:pPr>
            <w:r w:rsidRPr="00153B45">
              <w:rPr>
                <w:rFonts w:hint="eastAsia"/>
              </w:rPr>
              <w:t>15-20万/年</w:t>
            </w:r>
          </w:p>
        </w:tc>
      </w:tr>
      <w:tr w:rsidR="00153B45" w:rsidRPr="00153B45" w14:paraId="204F29F2" w14:textId="77777777">
        <w:trPr>
          <w:trHeight w:val="930"/>
        </w:trPr>
        <w:tc>
          <w:tcPr>
            <w:tcW w:w="0" w:type="auto"/>
            <w:vMerge/>
            <w:tcBorders>
              <w:top w:val="nil"/>
              <w:left w:val="single" w:sz="6" w:space="0" w:color="000000"/>
              <w:bottom w:val="single" w:sz="6" w:space="0" w:color="000000"/>
              <w:right w:val="single" w:sz="6" w:space="0" w:color="000000"/>
            </w:tcBorders>
            <w:vAlign w:val="center"/>
            <w:hideMark/>
          </w:tcPr>
          <w:p w14:paraId="49FE446D" w14:textId="77777777" w:rsidR="00153B45" w:rsidRPr="00153B45" w:rsidRDefault="00153B45" w:rsidP="00153B45"/>
        </w:tc>
        <w:tc>
          <w:tcPr>
            <w:tcW w:w="0" w:type="auto"/>
            <w:vMerge/>
            <w:tcBorders>
              <w:top w:val="nil"/>
              <w:left w:val="nil"/>
              <w:bottom w:val="single" w:sz="6" w:space="0" w:color="000000"/>
              <w:right w:val="single" w:sz="6" w:space="0" w:color="000000"/>
            </w:tcBorders>
            <w:vAlign w:val="center"/>
            <w:hideMark/>
          </w:tcPr>
          <w:p w14:paraId="3A93D739"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hideMark/>
          </w:tcPr>
          <w:p w14:paraId="54B48670" w14:textId="77777777" w:rsidR="00153B45" w:rsidRPr="00153B45" w:rsidRDefault="00153B45" w:rsidP="00153B45">
            <w:pPr>
              <w:rPr>
                <w:rFonts w:hint="eastAsia"/>
              </w:rPr>
            </w:pPr>
            <w:r w:rsidRPr="00153B45">
              <w:rPr>
                <w:rFonts w:hint="eastAsia"/>
              </w:rPr>
              <w:t>4.在高中阶段曾获得相应学科全国竞赛总决赛金牌的毕业生</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2C9663A2" w14:textId="77777777" w:rsidR="00153B45" w:rsidRPr="00153B45" w:rsidRDefault="00153B45" w:rsidP="00153B45">
            <w:pPr>
              <w:rPr>
                <w:rFonts w:hint="eastAsia"/>
              </w:rPr>
            </w:pPr>
            <w:r w:rsidRPr="00153B45">
              <w:rPr>
                <w:rFonts w:hint="eastAsia"/>
              </w:rPr>
              <w:t>50万</w:t>
            </w:r>
          </w:p>
        </w:tc>
        <w:tc>
          <w:tcPr>
            <w:tcW w:w="0" w:type="auto"/>
            <w:vMerge/>
            <w:tcBorders>
              <w:top w:val="nil"/>
              <w:left w:val="nil"/>
              <w:bottom w:val="single" w:sz="6" w:space="0" w:color="000000"/>
              <w:right w:val="single" w:sz="6" w:space="0" w:color="000000"/>
            </w:tcBorders>
            <w:vAlign w:val="center"/>
            <w:hideMark/>
          </w:tcPr>
          <w:p w14:paraId="20791BBD"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6129EBFD" w14:textId="77777777" w:rsidR="00153B45" w:rsidRPr="00153B45" w:rsidRDefault="00153B45" w:rsidP="00153B45">
            <w:pPr>
              <w:rPr>
                <w:rFonts w:hint="eastAsia"/>
              </w:rPr>
            </w:pPr>
            <w:r w:rsidRPr="00153B45">
              <w:rPr>
                <w:rFonts w:hint="eastAsia"/>
              </w:rPr>
              <w:t>20-25万/年</w:t>
            </w:r>
          </w:p>
        </w:tc>
      </w:tr>
      <w:tr w:rsidR="00153B45" w:rsidRPr="00153B45" w14:paraId="32081FC6" w14:textId="77777777">
        <w:trPr>
          <w:trHeight w:val="780"/>
        </w:trPr>
        <w:tc>
          <w:tcPr>
            <w:tcW w:w="0" w:type="auto"/>
            <w:vMerge/>
            <w:tcBorders>
              <w:top w:val="nil"/>
              <w:left w:val="single" w:sz="6" w:space="0" w:color="000000"/>
              <w:bottom w:val="single" w:sz="6" w:space="0" w:color="000000"/>
              <w:right w:val="single" w:sz="6" w:space="0" w:color="000000"/>
            </w:tcBorders>
            <w:vAlign w:val="center"/>
            <w:hideMark/>
          </w:tcPr>
          <w:p w14:paraId="1808E502" w14:textId="77777777" w:rsidR="00153B45" w:rsidRPr="00153B45" w:rsidRDefault="00153B45" w:rsidP="00153B45"/>
        </w:tc>
        <w:tc>
          <w:tcPr>
            <w:tcW w:w="0" w:type="auto"/>
            <w:vMerge/>
            <w:tcBorders>
              <w:top w:val="nil"/>
              <w:left w:val="nil"/>
              <w:bottom w:val="single" w:sz="6" w:space="0" w:color="000000"/>
              <w:right w:val="single" w:sz="6" w:space="0" w:color="000000"/>
            </w:tcBorders>
            <w:vAlign w:val="center"/>
            <w:hideMark/>
          </w:tcPr>
          <w:p w14:paraId="28464B21"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2BBCFCD1" w14:textId="77777777" w:rsidR="00153B45" w:rsidRPr="00153B45" w:rsidRDefault="00153B45" w:rsidP="00153B45">
            <w:pPr>
              <w:rPr>
                <w:rFonts w:hint="eastAsia"/>
              </w:rPr>
            </w:pPr>
            <w:r w:rsidRPr="00153B45">
              <w:rPr>
                <w:rFonts w:hint="eastAsia"/>
              </w:rPr>
              <w:t>5.在高中阶段曾进入相应学科国家集训队的毕业生</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0C3BB0E0" w14:textId="77777777" w:rsidR="00153B45" w:rsidRPr="00153B45" w:rsidRDefault="00153B45" w:rsidP="00153B45">
            <w:pPr>
              <w:rPr>
                <w:rFonts w:hint="eastAsia"/>
              </w:rPr>
            </w:pPr>
            <w:r w:rsidRPr="00153B45">
              <w:rPr>
                <w:rFonts w:hint="eastAsia"/>
              </w:rPr>
              <w:t>60万</w:t>
            </w:r>
          </w:p>
        </w:tc>
        <w:tc>
          <w:tcPr>
            <w:tcW w:w="0" w:type="auto"/>
            <w:vMerge/>
            <w:tcBorders>
              <w:top w:val="nil"/>
              <w:left w:val="nil"/>
              <w:bottom w:val="single" w:sz="6" w:space="0" w:color="000000"/>
              <w:right w:val="single" w:sz="6" w:space="0" w:color="000000"/>
            </w:tcBorders>
            <w:vAlign w:val="center"/>
            <w:hideMark/>
          </w:tcPr>
          <w:p w14:paraId="68FD37C5"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55517BD3" w14:textId="77777777" w:rsidR="00153B45" w:rsidRPr="00153B45" w:rsidRDefault="00153B45" w:rsidP="00153B45">
            <w:pPr>
              <w:rPr>
                <w:rFonts w:hint="eastAsia"/>
              </w:rPr>
            </w:pPr>
            <w:r w:rsidRPr="00153B45">
              <w:rPr>
                <w:rFonts w:hint="eastAsia"/>
              </w:rPr>
              <w:t>25-30万/年</w:t>
            </w:r>
          </w:p>
        </w:tc>
      </w:tr>
      <w:tr w:rsidR="00153B45" w:rsidRPr="00153B45" w14:paraId="1C6A940D" w14:textId="77777777">
        <w:trPr>
          <w:trHeight w:val="840"/>
        </w:trPr>
        <w:tc>
          <w:tcPr>
            <w:tcW w:w="0" w:type="auto"/>
            <w:vMerge w:val="restart"/>
            <w:tcBorders>
              <w:top w:val="nil"/>
              <w:left w:val="single" w:sz="6" w:space="0" w:color="000000"/>
              <w:bottom w:val="single" w:sz="6" w:space="0" w:color="000000"/>
              <w:right w:val="single" w:sz="6" w:space="0" w:color="000000"/>
            </w:tcBorders>
            <w:tcMar>
              <w:top w:w="30" w:type="dxa"/>
              <w:left w:w="105" w:type="dxa"/>
              <w:bottom w:w="0" w:type="dxa"/>
              <w:right w:w="0" w:type="dxa"/>
            </w:tcMar>
            <w:vAlign w:val="center"/>
            <w:hideMark/>
          </w:tcPr>
          <w:p w14:paraId="7CB7CBC3" w14:textId="77777777" w:rsidR="00153B45" w:rsidRPr="00153B45" w:rsidRDefault="00153B45" w:rsidP="00153B45">
            <w:pPr>
              <w:rPr>
                <w:rFonts w:hint="eastAsia"/>
              </w:rPr>
            </w:pPr>
            <w:r w:rsidRPr="00153B45">
              <w:rPr>
                <w:rFonts w:hint="eastAsia"/>
              </w:rPr>
              <w:t>高水平竞技教练员</w:t>
            </w:r>
          </w:p>
        </w:tc>
        <w:tc>
          <w:tcPr>
            <w:tcW w:w="0" w:type="auto"/>
            <w:gridSpan w:val="2"/>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3210FA11" w14:textId="77777777" w:rsidR="00153B45" w:rsidRPr="00153B45" w:rsidRDefault="00153B45" w:rsidP="00153B45">
            <w:pPr>
              <w:rPr>
                <w:rFonts w:hint="eastAsia"/>
              </w:rPr>
            </w:pPr>
            <w:r w:rsidRPr="00153B45">
              <w:rPr>
                <w:rFonts w:hint="eastAsia"/>
              </w:rPr>
              <w:t>1.具有运动健将称号的高校毕业生；或者浙江省队退役并符合退役安置条件的运动员</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50562C53" w14:textId="77777777" w:rsidR="00153B45" w:rsidRPr="00153B45" w:rsidRDefault="00153B45" w:rsidP="00153B45">
            <w:pPr>
              <w:rPr>
                <w:rFonts w:hint="eastAsia"/>
              </w:rPr>
            </w:pPr>
            <w:r w:rsidRPr="00153B45">
              <w:rPr>
                <w:rFonts w:hint="eastAsia"/>
              </w:rPr>
              <w:t>20万</w:t>
            </w:r>
          </w:p>
        </w:tc>
        <w:tc>
          <w:tcPr>
            <w:tcW w:w="0" w:type="auto"/>
            <w:vMerge w:val="restart"/>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14EF574E" w14:textId="77777777" w:rsidR="00153B45" w:rsidRPr="00153B45" w:rsidRDefault="00153B45" w:rsidP="00153B45">
            <w:pPr>
              <w:rPr>
                <w:rFonts w:hint="eastAsia"/>
              </w:rPr>
            </w:pPr>
            <w:r w:rsidRPr="00153B45">
              <w:rPr>
                <w:rFonts w:hint="eastAsia"/>
              </w:rPr>
              <w:t>/</w:t>
            </w:r>
          </w:p>
        </w:tc>
        <w:tc>
          <w:tcPr>
            <w:tcW w:w="0" w:type="auto"/>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3CF4F512" w14:textId="77777777" w:rsidR="00153B45" w:rsidRPr="00153B45" w:rsidRDefault="00153B45" w:rsidP="00153B45">
            <w:pPr>
              <w:rPr>
                <w:rFonts w:hint="eastAsia"/>
              </w:rPr>
            </w:pPr>
            <w:r w:rsidRPr="00153B45">
              <w:rPr>
                <w:rFonts w:hint="eastAsia"/>
              </w:rPr>
              <w:t>10-15万/年</w:t>
            </w:r>
          </w:p>
        </w:tc>
      </w:tr>
      <w:tr w:rsidR="00153B45" w:rsidRPr="00153B45" w14:paraId="00A2D454" w14:textId="77777777">
        <w:trPr>
          <w:trHeight w:val="1155"/>
        </w:trPr>
        <w:tc>
          <w:tcPr>
            <w:tcW w:w="0" w:type="auto"/>
            <w:vMerge/>
            <w:tcBorders>
              <w:top w:val="nil"/>
              <w:left w:val="single" w:sz="6" w:space="0" w:color="000000"/>
              <w:bottom w:val="single" w:sz="6" w:space="0" w:color="000000"/>
              <w:right w:val="single" w:sz="6" w:space="0" w:color="000000"/>
            </w:tcBorders>
            <w:vAlign w:val="center"/>
            <w:hideMark/>
          </w:tcPr>
          <w:p w14:paraId="3FBE6867" w14:textId="77777777" w:rsidR="00153B45" w:rsidRPr="00153B45" w:rsidRDefault="00153B45" w:rsidP="00153B45"/>
        </w:tc>
        <w:tc>
          <w:tcPr>
            <w:tcW w:w="0" w:type="auto"/>
            <w:gridSpan w:val="2"/>
            <w:tcBorders>
              <w:top w:val="nil"/>
              <w:left w:val="nil"/>
              <w:bottom w:val="single" w:sz="6" w:space="0" w:color="000000"/>
              <w:right w:val="single" w:sz="6" w:space="0" w:color="000000"/>
            </w:tcBorders>
            <w:tcMar>
              <w:top w:w="30" w:type="dxa"/>
              <w:left w:w="105" w:type="dxa"/>
              <w:bottom w:w="0" w:type="dxa"/>
              <w:right w:w="0" w:type="dxa"/>
            </w:tcMar>
            <w:vAlign w:val="center"/>
            <w:hideMark/>
          </w:tcPr>
          <w:p w14:paraId="06B7FB4F" w14:textId="77777777" w:rsidR="00153B45" w:rsidRPr="00153B45" w:rsidRDefault="00153B45" w:rsidP="00153B45">
            <w:pPr>
              <w:rPr>
                <w:rFonts w:hint="eastAsia"/>
              </w:rPr>
            </w:pPr>
            <w:r w:rsidRPr="00153B45">
              <w:rPr>
                <w:rFonts w:hint="eastAsia"/>
              </w:rPr>
              <w:t>2.特别优秀的高水平竞技教练员</w:t>
            </w:r>
          </w:p>
        </w:tc>
        <w:tc>
          <w:tcPr>
            <w:tcW w:w="0" w:type="auto"/>
            <w:tcBorders>
              <w:top w:val="nil"/>
              <w:left w:val="nil"/>
              <w:bottom w:val="single" w:sz="6" w:space="0" w:color="000000"/>
              <w:right w:val="single" w:sz="6" w:space="0" w:color="000000"/>
            </w:tcBorders>
            <w:tcMar>
              <w:top w:w="30" w:type="dxa"/>
              <w:left w:w="105" w:type="dxa"/>
              <w:bottom w:w="0" w:type="dxa"/>
              <w:right w:w="0" w:type="dxa"/>
            </w:tcMar>
            <w:hideMark/>
          </w:tcPr>
          <w:p w14:paraId="5B30A88A" w14:textId="77777777" w:rsidR="00153B45" w:rsidRPr="00153B45" w:rsidRDefault="00153B45" w:rsidP="00153B45">
            <w:pPr>
              <w:rPr>
                <w:rFonts w:hint="eastAsia"/>
              </w:rPr>
            </w:pPr>
            <w:r w:rsidRPr="00153B45">
              <w:rPr>
                <w:rFonts w:hint="eastAsia"/>
              </w:rPr>
              <w:t>在不超过 100 万的总额范围内，采用“一事一议”政策</w:t>
            </w:r>
          </w:p>
        </w:tc>
        <w:tc>
          <w:tcPr>
            <w:tcW w:w="0" w:type="auto"/>
            <w:vMerge/>
            <w:tcBorders>
              <w:top w:val="nil"/>
              <w:left w:val="nil"/>
              <w:bottom w:val="single" w:sz="6" w:space="0" w:color="000000"/>
              <w:right w:val="single" w:sz="6" w:space="0" w:color="000000"/>
            </w:tcBorders>
            <w:vAlign w:val="center"/>
            <w:hideMark/>
          </w:tcPr>
          <w:p w14:paraId="74BEA1BA" w14:textId="77777777" w:rsidR="00153B45" w:rsidRPr="00153B45" w:rsidRDefault="00153B45" w:rsidP="00153B45"/>
        </w:tc>
        <w:tc>
          <w:tcPr>
            <w:tcW w:w="0" w:type="auto"/>
            <w:tcBorders>
              <w:top w:val="nil"/>
              <w:left w:val="nil"/>
              <w:bottom w:val="single" w:sz="6" w:space="0" w:color="000000"/>
              <w:right w:val="single" w:sz="6" w:space="0" w:color="000000"/>
            </w:tcBorders>
            <w:tcMar>
              <w:top w:w="30" w:type="dxa"/>
              <w:left w:w="105" w:type="dxa"/>
              <w:bottom w:w="0" w:type="dxa"/>
              <w:right w:w="0" w:type="dxa"/>
            </w:tcMar>
            <w:hideMark/>
          </w:tcPr>
          <w:p w14:paraId="504F567A" w14:textId="77777777" w:rsidR="00153B45" w:rsidRPr="00153B45" w:rsidRDefault="00153B45" w:rsidP="00153B45">
            <w:pPr>
              <w:rPr>
                <w:rFonts w:hint="eastAsia"/>
              </w:rPr>
            </w:pPr>
            <w:r w:rsidRPr="00153B45">
              <w:rPr>
                <w:rFonts w:hint="eastAsia"/>
              </w:rPr>
              <w:t>在不超过 200</w:t>
            </w:r>
          </w:p>
          <w:p w14:paraId="0EB5748B" w14:textId="77777777" w:rsidR="00153B45" w:rsidRPr="00153B45" w:rsidRDefault="00153B45" w:rsidP="00153B45">
            <w:pPr>
              <w:rPr>
                <w:rFonts w:hint="eastAsia"/>
              </w:rPr>
            </w:pPr>
            <w:r w:rsidRPr="00153B45">
              <w:rPr>
                <w:rFonts w:hint="eastAsia"/>
              </w:rPr>
              <w:t>万的总额范围</w:t>
            </w:r>
          </w:p>
          <w:p w14:paraId="6244B363" w14:textId="77777777" w:rsidR="00153B45" w:rsidRPr="00153B45" w:rsidRDefault="00153B45" w:rsidP="00153B45">
            <w:pPr>
              <w:rPr>
                <w:rFonts w:hint="eastAsia"/>
              </w:rPr>
            </w:pPr>
            <w:r w:rsidRPr="00153B45">
              <w:rPr>
                <w:rFonts w:hint="eastAsia"/>
              </w:rPr>
              <w:t>内，采用“一事一议”政策</w:t>
            </w:r>
          </w:p>
        </w:tc>
      </w:tr>
    </w:tbl>
    <w:p w14:paraId="01B85B8F" w14:textId="77777777" w:rsidR="00153B45" w:rsidRPr="00153B45" w:rsidRDefault="00153B45" w:rsidP="00153B45">
      <w:pPr>
        <w:rPr>
          <w:rFonts w:hint="eastAsia"/>
        </w:rPr>
      </w:pPr>
      <w:r w:rsidRPr="00153B45">
        <w:rPr>
          <w:rFonts w:hint="eastAsia"/>
        </w:rPr>
        <w:t>注：1.在享有同类公办教师待遇基础上，享受上述人才待遇。</w:t>
      </w:r>
    </w:p>
    <w:p w14:paraId="189D238B" w14:textId="77777777" w:rsidR="00153B45" w:rsidRPr="00153B45" w:rsidRDefault="00153B45" w:rsidP="00153B45">
      <w:pPr>
        <w:rPr>
          <w:rFonts w:hint="eastAsia"/>
        </w:rPr>
      </w:pPr>
      <w:r w:rsidRPr="00153B45">
        <w:rPr>
          <w:rFonts w:hint="eastAsia"/>
        </w:rPr>
        <w:lastRenderedPageBreak/>
        <w:t>2.以上涉及的奖励（补助）事项，与我市现行人才政策中存在重复的，按照“就高原则”享受。</w:t>
      </w:r>
    </w:p>
    <w:p w14:paraId="5F693903" w14:textId="77777777" w:rsidR="00153B45" w:rsidRPr="00153B45" w:rsidRDefault="00153B45" w:rsidP="00153B45">
      <w:pPr>
        <w:rPr>
          <w:rFonts w:hint="eastAsia"/>
        </w:rPr>
      </w:pPr>
      <w:r w:rsidRPr="00153B45">
        <w:rPr>
          <w:rFonts w:hint="eastAsia"/>
        </w:rPr>
        <w:t>3.根据我市现行人才政策，除上述人才类别外，引进的博士，给予</w:t>
      </w:r>
      <w:proofErr w:type="gramStart"/>
      <w:r w:rsidRPr="00153B45">
        <w:rPr>
          <w:rFonts w:hint="eastAsia"/>
        </w:rPr>
        <w:t>60万元房票补贴</w:t>
      </w:r>
      <w:proofErr w:type="gramEnd"/>
      <w:r w:rsidRPr="00153B45">
        <w:rPr>
          <w:rFonts w:hint="eastAsia"/>
        </w:rPr>
        <w:t>、15万元安家补贴；引进的“双一流”高校硕士，给予10万元安家补贴。</w:t>
      </w:r>
    </w:p>
    <w:p w14:paraId="11353531" w14:textId="77777777" w:rsidR="00153B45" w:rsidRPr="00153B45" w:rsidRDefault="00153B45"/>
    <w:sectPr w:rsidR="00153B45" w:rsidRPr="00153B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45"/>
    <w:rsid w:val="0002171D"/>
    <w:rsid w:val="0015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B1C8"/>
  <w15:chartTrackingRefBased/>
  <w15:docId w15:val="{CA83E892-4954-4D43-AA1D-A5C128AB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B4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53B4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53B4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53B4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53B4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53B4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53B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B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B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B4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53B4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53B4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53B45"/>
    <w:rPr>
      <w:rFonts w:cstheme="majorBidi"/>
      <w:color w:val="0F4761" w:themeColor="accent1" w:themeShade="BF"/>
      <w:sz w:val="28"/>
      <w:szCs w:val="28"/>
    </w:rPr>
  </w:style>
  <w:style w:type="character" w:customStyle="1" w:styleId="50">
    <w:name w:val="标题 5 字符"/>
    <w:basedOn w:val="a0"/>
    <w:link w:val="5"/>
    <w:uiPriority w:val="9"/>
    <w:semiHidden/>
    <w:rsid w:val="00153B45"/>
    <w:rPr>
      <w:rFonts w:cstheme="majorBidi"/>
      <w:color w:val="0F4761" w:themeColor="accent1" w:themeShade="BF"/>
      <w:sz w:val="24"/>
    </w:rPr>
  </w:style>
  <w:style w:type="character" w:customStyle="1" w:styleId="60">
    <w:name w:val="标题 6 字符"/>
    <w:basedOn w:val="a0"/>
    <w:link w:val="6"/>
    <w:uiPriority w:val="9"/>
    <w:semiHidden/>
    <w:rsid w:val="00153B45"/>
    <w:rPr>
      <w:rFonts w:cstheme="majorBidi"/>
      <w:b/>
      <w:bCs/>
      <w:color w:val="0F4761" w:themeColor="accent1" w:themeShade="BF"/>
    </w:rPr>
  </w:style>
  <w:style w:type="character" w:customStyle="1" w:styleId="70">
    <w:name w:val="标题 7 字符"/>
    <w:basedOn w:val="a0"/>
    <w:link w:val="7"/>
    <w:uiPriority w:val="9"/>
    <w:semiHidden/>
    <w:rsid w:val="00153B45"/>
    <w:rPr>
      <w:rFonts w:cstheme="majorBidi"/>
      <w:b/>
      <w:bCs/>
      <w:color w:val="595959" w:themeColor="text1" w:themeTint="A6"/>
    </w:rPr>
  </w:style>
  <w:style w:type="character" w:customStyle="1" w:styleId="80">
    <w:name w:val="标题 8 字符"/>
    <w:basedOn w:val="a0"/>
    <w:link w:val="8"/>
    <w:uiPriority w:val="9"/>
    <w:semiHidden/>
    <w:rsid w:val="00153B45"/>
    <w:rPr>
      <w:rFonts w:cstheme="majorBidi"/>
      <w:color w:val="595959" w:themeColor="text1" w:themeTint="A6"/>
    </w:rPr>
  </w:style>
  <w:style w:type="character" w:customStyle="1" w:styleId="90">
    <w:name w:val="标题 9 字符"/>
    <w:basedOn w:val="a0"/>
    <w:link w:val="9"/>
    <w:uiPriority w:val="9"/>
    <w:semiHidden/>
    <w:rsid w:val="00153B45"/>
    <w:rPr>
      <w:rFonts w:eastAsiaTheme="majorEastAsia" w:cstheme="majorBidi"/>
      <w:color w:val="595959" w:themeColor="text1" w:themeTint="A6"/>
    </w:rPr>
  </w:style>
  <w:style w:type="paragraph" w:styleId="a3">
    <w:name w:val="Title"/>
    <w:basedOn w:val="a"/>
    <w:next w:val="a"/>
    <w:link w:val="a4"/>
    <w:uiPriority w:val="10"/>
    <w:qFormat/>
    <w:rsid w:val="00153B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B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B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B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B45"/>
    <w:pPr>
      <w:spacing w:before="160"/>
      <w:jc w:val="center"/>
    </w:pPr>
    <w:rPr>
      <w:i/>
      <w:iCs/>
      <w:color w:val="404040" w:themeColor="text1" w:themeTint="BF"/>
    </w:rPr>
  </w:style>
  <w:style w:type="character" w:customStyle="1" w:styleId="a8">
    <w:name w:val="引用 字符"/>
    <w:basedOn w:val="a0"/>
    <w:link w:val="a7"/>
    <w:uiPriority w:val="29"/>
    <w:rsid w:val="00153B45"/>
    <w:rPr>
      <w:i/>
      <w:iCs/>
      <w:color w:val="404040" w:themeColor="text1" w:themeTint="BF"/>
    </w:rPr>
  </w:style>
  <w:style w:type="paragraph" w:styleId="a9">
    <w:name w:val="List Paragraph"/>
    <w:basedOn w:val="a"/>
    <w:uiPriority w:val="34"/>
    <w:qFormat/>
    <w:rsid w:val="00153B45"/>
    <w:pPr>
      <w:ind w:left="720"/>
      <w:contextualSpacing/>
    </w:pPr>
  </w:style>
  <w:style w:type="character" w:styleId="aa">
    <w:name w:val="Intense Emphasis"/>
    <w:basedOn w:val="a0"/>
    <w:uiPriority w:val="21"/>
    <w:qFormat/>
    <w:rsid w:val="00153B45"/>
    <w:rPr>
      <w:i/>
      <w:iCs/>
      <w:color w:val="0F4761" w:themeColor="accent1" w:themeShade="BF"/>
    </w:rPr>
  </w:style>
  <w:style w:type="paragraph" w:styleId="ab">
    <w:name w:val="Intense Quote"/>
    <w:basedOn w:val="a"/>
    <w:next w:val="a"/>
    <w:link w:val="ac"/>
    <w:uiPriority w:val="30"/>
    <w:qFormat/>
    <w:rsid w:val="00153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53B45"/>
    <w:rPr>
      <w:i/>
      <w:iCs/>
      <w:color w:val="0F4761" w:themeColor="accent1" w:themeShade="BF"/>
    </w:rPr>
  </w:style>
  <w:style w:type="character" w:styleId="ad">
    <w:name w:val="Intense Reference"/>
    <w:basedOn w:val="a0"/>
    <w:uiPriority w:val="32"/>
    <w:qFormat/>
    <w:rsid w:val="00153B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837</Words>
  <Characters>888</Characters>
  <Application>Microsoft Office Word</Application>
  <DocSecurity>0</DocSecurity>
  <Lines>80</Lines>
  <Paragraphs>74</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762299769@qq.com</dc:creator>
  <cp:keywords/>
  <dc:description/>
  <cp:lastModifiedBy>762299769@qq.com</cp:lastModifiedBy>
  <cp:revision>1</cp:revision>
  <dcterms:created xsi:type="dcterms:W3CDTF">2025-10-28T13:30:00Z</dcterms:created>
  <dcterms:modified xsi:type="dcterms:W3CDTF">2025-10-28T13:34:00Z</dcterms:modified>
</cp:coreProperties>
</file>