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385A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   </w:t>
      </w:r>
    </w:p>
    <w:p w14:paraId="4EA2DBA0">
      <w:pPr>
        <w:pStyle w:val="2"/>
        <w:ind w:left="840" w:hanging="420"/>
        <w:rPr>
          <w:rFonts w:hint="eastAsia"/>
        </w:rPr>
      </w:pPr>
    </w:p>
    <w:p w14:paraId="1905B22E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浙江省诸暨中学面向2026年应届高校优秀毕业生招聘教师计划表</w:t>
      </w:r>
    </w:p>
    <w:bookmarkEnd w:id="0"/>
    <w:tbl>
      <w:tblPr>
        <w:tblStyle w:val="4"/>
        <w:tblpPr w:leftFromText="180" w:rightFromText="180" w:vertAnchor="text" w:horzAnchor="page" w:tblpX="1713" w:tblpY="819"/>
        <w:tblOverlap w:val="never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40"/>
        <w:gridCol w:w="1332"/>
        <w:gridCol w:w="922"/>
        <w:gridCol w:w="4622"/>
      </w:tblGrid>
      <w:tr w14:paraId="1D93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10" w:type="dxa"/>
            <w:noWrap w:val="0"/>
            <w:vAlign w:val="center"/>
          </w:tcPr>
          <w:p w14:paraId="2857BB61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40" w:type="dxa"/>
            <w:noWrap w:val="0"/>
            <w:vAlign w:val="center"/>
          </w:tcPr>
          <w:p w14:paraId="6E8A9ADA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332" w:type="dxa"/>
            <w:noWrap w:val="0"/>
            <w:vAlign w:val="center"/>
          </w:tcPr>
          <w:p w14:paraId="1F81F05E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22" w:type="dxa"/>
            <w:noWrap w:val="0"/>
            <w:vAlign w:val="center"/>
          </w:tcPr>
          <w:p w14:paraId="6364F49E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4622" w:type="dxa"/>
            <w:noWrap w:val="0"/>
            <w:vAlign w:val="center"/>
          </w:tcPr>
          <w:p w14:paraId="6F39B54C">
            <w:pPr>
              <w:pStyle w:val="2"/>
              <w:spacing w:line="200" w:lineRule="exact"/>
              <w:ind w:left="842" w:hanging="422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</w:tr>
      <w:tr w14:paraId="4B9E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10" w:type="dxa"/>
            <w:noWrap w:val="0"/>
            <w:vAlign w:val="center"/>
          </w:tcPr>
          <w:p w14:paraId="34534191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高中数学</w:t>
            </w:r>
          </w:p>
        </w:tc>
        <w:tc>
          <w:tcPr>
            <w:tcW w:w="540" w:type="dxa"/>
            <w:noWrap w:val="0"/>
            <w:vAlign w:val="center"/>
          </w:tcPr>
          <w:p w14:paraId="6AA017BE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5A6C8C4B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6803C349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4B920E37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研究生：数学、统计学、电子信息、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电气工程</w:t>
            </w:r>
          </w:p>
          <w:p w14:paraId="39E106E8"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课程与教学论（数学方向）、学科教学（数学）、系统科学、计算机科学与技术</w:t>
            </w:r>
          </w:p>
          <w:p w14:paraId="2D03BC08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本  科：数学类、统计学类、电子信息类、电气类、计算机类、</w:t>
            </w:r>
            <w:r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  <w:t>金融数学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  <w:t>精算学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、</w:t>
            </w:r>
            <w:r>
              <w:rPr>
                <w:rFonts w:ascii="仿宋_GB2312" w:hAnsi="宋体" w:eastAsia="仿宋_GB2312" w:cs="仿宋_GB2312"/>
                <w:kern w:val="0"/>
                <w:szCs w:val="21"/>
                <w:lang w:bidi="ar"/>
              </w:rPr>
              <w:t>系统科学与工程</w:t>
            </w:r>
          </w:p>
        </w:tc>
      </w:tr>
      <w:tr w14:paraId="32A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10" w:type="dxa"/>
            <w:noWrap w:val="0"/>
            <w:vAlign w:val="center"/>
          </w:tcPr>
          <w:p w14:paraId="7D316FAC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高中英语</w:t>
            </w:r>
          </w:p>
        </w:tc>
        <w:tc>
          <w:tcPr>
            <w:tcW w:w="540" w:type="dxa"/>
            <w:noWrap w:val="0"/>
            <w:vAlign w:val="center"/>
          </w:tcPr>
          <w:p w14:paraId="7D361C0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5CFDF90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1728EA9F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2D23731A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研究生：外国语言文学（英语方向）、翻译（英语方向）、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（英语方向）、学科教学（英语）</w:t>
            </w:r>
          </w:p>
          <w:p w14:paraId="2F2C7CCA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本  科：外国语言文学类（英语、翻译）</w:t>
            </w:r>
          </w:p>
        </w:tc>
      </w:tr>
      <w:tr w14:paraId="16D5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110" w:type="dxa"/>
            <w:noWrap w:val="0"/>
            <w:vAlign w:val="center"/>
          </w:tcPr>
          <w:p w14:paraId="37B5CB78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高中化学</w:t>
            </w:r>
          </w:p>
        </w:tc>
        <w:tc>
          <w:tcPr>
            <w:tcW w:w="540" w:type="dxa"/>
            <w:noWrap w:val="0"/>
            <w:vAlign w:val="center"/>
          </w:tcPr>
          <w:p w14:paraId="7C7AA5A9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501D40F4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283C4730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6A97BAB0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研究生：化学、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bidi="ar"/>
              </w:rPr>
              <w:t>课程与教学论（化学方向）、学科教学（化学）</w:t>
            </w:r>
          </w:p>
          <w:p w14:paraId="227519DF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  科：化学类</w:t>
            </w:r>
          </w:p>
        </w:tc>
      </w:tr>
      <w:tr w14:paraId="5FED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110" w:type="dxa"/>
            <w:noWrap w:val="0"/>
            <w:vAlign w:val="center"/>
          </w:tcPr>
          <w:p w14:paraId="0E8262D8">
            <w:pPr>
              <w:spacing w:line="2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合计</w:t>
            </w:r>
          </w:p>
        </w:tc>
        <w:tc>
          <w:tcPr>
            <w:tcW w:w="540" w:type="dxa"/>
            <w:noWrap w:val="0"/>
            <w:vAlign w:val="center"/>
          </w:tcPr>
          <w:p w14:paraId="40F4CBD6">
            <w:pPr>
              <w:spacing w:line="2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332" w:type="dxa"/>
            <w:noWrap w:val="0"/>
            <w:vAlign w:val="center"/>
          </w:tcPr>
          <w:p w14:paraId="748EA702">
            <w:pPr>
              <w:pStyle w:val="2"/>
              <w:spacing w:line="220" w:lineRule="exact"/>
              <w:ind w:left="840" w:hanging="420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EA7CBE1">
            <w:pPr>
              <w:pStyle w:val="2"/>
              <w:spacing w:line="220" w:lineRule="exact"/>
              <w:ind w:left="840" w:hanging="420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622" w:type="dxa"/>
            <w:noWrap w:val="0"/>
            <w:vAlign w:val="center"/>
          </w:tcPr>
          <w:p w14:paraId="0DE61E77">
            <w:pPr>
              <w:pStyle w:val="2"/>
              <w:spacing w:line="220" w:lineRule="exact"/>
              <w:ind w:left="840" w:hanging="420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DBE44E2">
      <w:pPr>
        <w:tabs>
          <w:tab w:val="left" w:pos="5056"/>
        </w:tabs>
        <w:adjustRightIn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F9FD833">
      <w:pPr>
        <w:tabs>
          <w:tab w:val="left" w:pos="5056"/>
        </w:tabs>
        <w:adjustRightIn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5D52AD3">
      <w:pPr>
        <w:tabs>
          <w:tab w:val="left" w:pos="5056"/>
        </w:tabs>
        <w:adjustRightInd w:val="0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8310C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33D27CD5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2025-11-27T09:13:30Z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