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6A4A">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pacing w:val="-6"/>
          <w:sz w:val="28"/>
          <w:szCs w:val="28"/>
          <w14:textFill>
            <w14:solidFill>
              <w14:schemeClr w14:val="tx1"/>
            </w14:solidFill>
          </w14:textFill>
        </w:rPr>
        <w:t>附件2</w:t>
      </w:r>
    </w:p>
    <w:p w14:paraId="1098F922">
      <w:pPr>
        <w:spacing w:line="500" w:lineRule="exact"/>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报考指南</w:t>
      </w:r>
    </w:p>
    <w:p w14:paraId="471EEBC5">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p>
    <w:p w14:paraId="498B78F3">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一、网上填写报名信息时应注意什么？</w:t>
      </w:r>
    </w:p>
    <w:p w14:paraId="192E7822">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B0F4A1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themeColor="text1"/>
          <w:sz w:val="28"/>
          <w:szCs w:val="28"/>
          <w14:textFill>
            <w14:solidFill>
              <w14:schemeClr w14:val="tx1"/>
            </w14:solidFill>
          </w14:textFill>
        </w:rPr>
        <w:t>在面试资格审查</w:t>
      </w:r>
      <w:r>
        <w:rPr>
          <w:rFonts w:ascii="仿宋_GB2312" w:hAnsi="仿宋_GB2312" w:eastAsia="仿宋_GB2312" w:cs="仿宋_GB2312"/>
          <w:color w:val="000000" w:themeColor="text1"/>
          <w:sz w:val="28"/>
          <w:szCs w:val="28"/>
          <w14:textFill>
            <w14:solidFill>
              <w14:schemeClr w14:val="tx1"/>
            </w14:solidFill>
          </w14:textFill>
        </w:rPr>
        <w:t>前取得证书的承诺，未如期取得，本人承担相应后果。</w:t>
      </w:r>
    </w:p>
    <w:p w14:paraId="72EEECA0">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家庭成员及其主要社会关系，须填写姓名、工作单位及职务。学习和工作（待业）经历</w:t>
      </w:r>
      <w:r>
        <w:rPr>
          <w:rFonts w:hint="eastAsia" w:ascii="仿宋_GB2312" w:hAnsi="仿宋_GB2312" w:eastAsia="仿宋_GB2312" w:cs="仿宋_GB2312"/>
          <w:color w:val="000000" w:themeColor="text1"/>
          <w:sz w:val="28"/>
          <w:szCs w:val="28"/>
          <w14:textFill>
            <w14:solidFill>
              <w14:schemeClr w14:val="tx1"/>
            </w14:solidFill>
          </w14:textFill>
        </w:rPr>
        <w:t>至少从大学</w:t>
      </w:r>
      <w:r>
        <w:rPr>
          <w:rFonts w:ascii="仿宋_GB2312" w:hAnsi="仿宋_GB2312" w:eastAsia="仿宋_GB2312" w:cs="仿宋_GB2312"/>
          <w:color w:val="000000" w:themeColor="text1"/>
          <w:sz w:val="28"/>
          <w:szCs w:val="28"/>
          <w14:textFill>
            <w14:solidFill>
              <w14:schemeClr w14:val="tx1"/>
            </w14:solidFill>
          </w14:textFill>
        </w:rPr>
        <w:t>阶段起填写至报名时止，不得间断。</w:t>
      </w:r>
    </w:p>
    <w:p w14:paraId="56D9ED3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000000" w:themeColor="text1"/>
          <w:sz w:val="28"/>
          <w:szCs w:val="28"/>
          <w14:textFill>
            <w14:solidFill>
              <w14:schemeClr w14:val="tx1"/>
            </w14:solidFill>
          </w14:textFill>
        </w:rPr>
        <w:t>下</w:t>
      </w:r>
      <w:r>
        <w:rPr>
          <w:rFonts w:ascii="仿宋_GB2312" w:hAnsi="仿宋_GB2312" w:eastAsia="仿宋_GB2312" w:cs="仿宋_GB2312"/>
          <w:color w:val="000000" w:themeColor="text1"/>
          <w:sz w:val="28"/>
          <w:szCs w:val="28"/>
          <w14:textFill>
            <w14:solidFill>
              <w14:schemeClr w14:val="tx1"/>
            </w14:solidFill>
          </w14:textFill>
        </w:rPr>
        <w:t>报名，避免后期集中报名，以免错失报名机会。</w:t>
      </w:r>
    </w:p>
    <w:p w14:paraId="5EC2F2EE">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w:t>
      </w:r>
      <w:r>
        <w:rPr>
          <w:rFonts w:ascii="黑体" w:hAnsi="黑体" w:eastAsia="黑体" w:cs="黑体"/>
          <w:color w:val="000000" w:themeColor="text1"/>
          <w:sz w:val="28"/>
          <w:szCs w:val="28"/>
          <w14:textFill>
            <w14:solidFill>
              <w14:schemeClr w14:val="tx1"/>
            </w14:solidFill>
          </w14:textFill>
        </w:rPr>
        <w:t>、本次招聘中要求的有效身份证件指的是什么？</w:t>
      </w:r>
    </w:p>
    <w:p w14:paraId="5789DC1A">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有效身份证件包括有效期限内的居民身份证、社会保障卡&lt;含照片&gt;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港澳居民来往内地通行证、</w:t>
      </w:r>
      <w:r>
        <w:rPr>
          <w:rFonts w:hint="eastAsia" w:ascii="仿宋_GB2312" w:hAnsi="仿宋_GB2312" w:eastAsia="仿宋_GB2312" w:cs="仿宋_GB2312"/>
          <w:color w:val="000000" w:themeColor="text1"/>
          <w:sz w:val="28"/>
          <w:szCs w:val="28"/>
          <w14:textFill>
            <w14:solidFill>
              <w14:schemeClr w14:val="tx1"/>
            </w14:solidFill>
          </w14:textFill>
        </w:rPr>
        <w:t>中华人民共和国台湾居民居住证、</w:t>
      </w:r>
      <w:r>
        <w:rPr>
          <w:rFonts w:ascii="仿宋_GB2312" w:hAnsi="仿宋_GB2312" w:eastAsia="仿宋_GB2312" w:cs="仿宋_GB2312"/>
          <w:color w:val="000000" w:themeColor="text1"/>
          <w:sz w:val="28"/>
          <w:szCs w:val="28"/>
          <w14:textFill>
            <w14:solidFill>
              <w14:schemeClr w14:val="tx1"/>
            </w14:solidFill>
          </w14:textFill>
        </w:rPr>
        <w:t>台湾居民来往大陆通行证。不含过期身份证、一代身份证、身份证复印件等</w:t>
      </w:r>
      <w:r>
        <w:rPr>
          <w:rFonts w:hint="eastAsia" w:ascii="仿宋_GB2312" w:hAnsi="仿宋_GB2312" w:eastAsia="仿宋_GB2312" w:cs="仿宋_GB2312"/>
          <w:color w:val="000000" w:themeColor="text1"/>
          <w:sz w:val="28"/>
          <w:szCs w:val="28"/>
          <w14:textFill>
            <w14:solidFill>
              <w14:schemeClr w14:val="tx1"/>
            </w14:solidFill>
          </w14:textFill>
        </w:rPr>
        <w:t>。</w:t>
      </w:r>
    </w:p>
    <w:p w14:paraId="7081F9F8">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三、基层工作经历相关情况</w:t>
      </w:r>
    </w:p>
    <w:p w14:paraId="0A6AA69C">
      <w:pPr>
        <w:spacing w:line="500" w:lineRule="exact"/>
        <w:ind w:firstLine="562" w:firstLineChars="200"/>
        <w:rPr>
          <w:rFonts w:hint="eastAsia"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（一）什么是基层工作经历？</w:t>
      </w:r>
    </w:p>
    <w:p w14:paraId="6B893315">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E362C80">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高校毕业生在校读书期间的社会实践经历，不能视为基层工作经历。</w:t>
      </w:r>
    </w:p>
    <w:p w14:paraId="56D3B92D">
      <w:pPr>
        <w:spacing w:line="500" w:lineRule="exact"/>
        <w:ind w:firstLine="562" w:firstLineChars="200"/>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（二）</w:t>
      </w:r>
      <w:r>
        <w:rPr>
          <w:rFonts w:ascii="楷体_GB2312" w:hAnsi="楷体_GB2312" w:eastAsia="楷体_GB2312" w:cs="楷体_GB2312"/>
          <w:b/>
          <w:bCs/>
          <w:color w:val="000000" w:themeColor="text1"/>
          <w:sz w:val="28"/>
          <w:szCs w:val="28"/>
          <w14:textFill>
            <w14:solidFill>
              <w14:schemeClr w14:val="tx1"/>
            </w14:solidFill>
          </w14:textFill>
        </w:rPr>
        <w:t>基层工作经历起始时间如何界定？</w:t>
      </w:r>
    </w:p>
    <w:p w14:paraId="196E2502">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在基层党政机关、事业单位</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国有企业工作的人员，基层工作经历时间自报到之日算起。</w:t>
      </w:r>
    </w:p>
    <w:p w14:paraId="33BF007B">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参加“大学生村官”、“三支一扶”、“大学生志愿服务西部计划”、“农村义务教育阶段学校教师特设岗位计划”等中央和地方基层就业项目人员，基层工作经历时间自报到之日算起。</w:t>
      </w:r>
    </w:p>
    <w:p w14:paraId="7B498D9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到基层特定公益岗位（社会管理和公共服务）初次就业的人员，基层工作经历时间从工作协议约定的起始时间算起。</w:t>
      </w:r>
    </w:p>
    <w:p w14:paraId="13685510">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离校未就业高校毕业生到高校毕业生实习见习基地（该基地为基层单位）参加见习或者到企事业单位参与项目研究的，视同具有基层工作经历，自报到之日算起。</w:t>
      </w:r>
    </w:p>
    <w:p w14:paraId="6AE01AD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ascii="仿宋_GB2312" w:hAnsi="仿宋_GB2312" w:eastAsia="仿宋_GB2312" w:cs="仿宋_GB2312"/>
          <w:color w:val="000000" w:themeColor="text1"/>
          <w:sz w:val="28"/>
          <w:szCs w:val="28"/>
          <w14:textFill>
            <w14:solidFill>
              <w14:schemeClr w14:val="tx1"/>
            </w14:solidFill>
          </w14:textFill>
        </w:rPr>
        <w:t>在其他经济组织、社会组织等单位工作的人员，基层工作经历时间以劳动合同约定的起始时间算起。</w:t>
      </w:r>
    </w:p>
    <w:p w14:paraId="162DAD1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ascii="仿宋_GB2312" w:hAnsi="仿宋_GB2312" w:eastAsia="仿宋_GB2312" w:cs="仿宋_GB2312"/>
          <w:color w:val="000000" w:themeColor="text1"/>
          <w:sz w:val="28"/>
          <w:szCs w:val="28"/>
          <w14:textFill>
            <w14:solidFill>
              <w14:schemeClr w14:val="tx1"/>
            </w14:solidFill>
          </w14:textFill>
        </w:rPr>
        <w:t>自主创业并办理工商注册手续的人员，其基层工作经历时间自营业执照颁发之日算起。</w:t>
      </w:r>
    </w:p>
    <w:p w14:paraId="509DA8D1">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以灵活就业形式初次就业人员，其基层工作经历时间从登记灵活就业并经审批确认的起始时间算起。</w:t>
      </w:r>
    </w:p>
    <w:p w14:paraId="5D678545">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在各级机关事业单位工作的编外人员，其基层工作经历时间自报到之日算起。</w:t>
      </w:r>
    </w:p>
    <w:p w14:paraId="67D212E2">
      <w:pPr>
        <w:spacing w:line="500" w:lineRule="exact"/>
        <w:ind w:firstLine="562" w:firstLineChars="200"/>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（三）</w:t>
      </w:r>
      <w:r>
        <w:rPr>
          <w:rFonts w:ascii="楷体_GB2312" w:hAnsi="楷体_GB2312" w:eastAsia="楷体_GB2312" w:cs="楷体_GB2312"/>
          <w:b/>
          <w:bCs/>
          <w:color w:val="000000" w:themeColor="text1"/>
          <w:sz w:val="28"/>
          <w:szCs w:val="28"/>
          <w14:textFill>
            <w14:solidFill>
              <w14:schemeClr w14:val="tx1"/>
            </w14:solidFill>
          </w14:textFill>
        </w:rPr>
        <w:t>基层工作经历截止时间如何界定？</w:t>
      </w:r>
    </w:p>
    <w:p w14:paraId="5FC4202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基层工作经历计算时间截止本次公开招聘报名</w:t>
      </w:r>
      <w:r>
        <w:rPr>
          <w:rFonts w:hint="eastAsia" w:ascii="仿宋_GB2312" w:hAnsi="仿宋_GB2312" w:eastAsia="仿宋_GB2312" w:cs="仿宋_GB2312"/>
          <w:color w:val="000000" w:themeColor="text1"/>
          <w:sz w:val="28"/>
          <w:szCs w:val="28"/>
          <w14:textFill>
            <w14:solidFill>
              <w14:schemeClr w14:val="tx1"/>
            </w14:solidFill>
          </w14:textFill>
        </w:rPr>
        <w:t>最后</w:t>
      </w:r>
      <w:r>
        <w:rPr>
          <w:rFonts w:ascii="仿宋_GB2312" w:hAnsi="仿宋_GB2312" w:eastAsia="仿宋_GB2312" w:cs="仿宋_GB2312"/>
          <w:color w:val="000000" w:themeColor="text1"/>
          <w:sz w:val="28"/>
          <w:szCs w:val="28"/>
          <w14:textFill>
            <w14:solidFill>
              <w14:schemeClr w14:val="tx1"/>
            </w14:solidFill>
          </w14:textFill>
        </w:rPr>
        <w:t>一日。</w:t>
      </w:r>
    </w:p>
    <w:p w14:paraId="0A8552B0">
      <w:pPr>
        <w:spacing w:line="500" w:lineRule="exact"/>
        <w:ind w:firstLine="562" w:firstLineChars="200"/>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（四）</w:t>
      </w:r>
      <w:r>
        <w:rPr>
          <w:rFonts w:ascii="楷体_GB2312" w:hAnsi="楷体_GB2312" w:eastAsia="楷体_GB2312" w:cs="楷体_GB2312"/>
          <w:b/>
          <w:bCs/>
          <w:color w:val="000000" w:themeColor="text1"/>
          <w:sz w:val="28"/>
          <w:szCs w:val="28"/>
          <w14:textFill>
            <w14:solidFill>
              <w14:schemeClr w14:val="tx1"/>
            </w14:solidFill>
          </w14:textFill>
        </w:rPr>
        <w:t>基层工作经历认定的操作原则？</w:t>
      </w:r>
    </w:p>
    <w:p w14:paraId="2ECCC5EB">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基层工作经历的证明材料由报考人员自行申报提交。</w:t>
      </w:r>
    </w:p>
    <w:p w14:paraId="141FDCD9">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报考人员对提交的证明材料真实性负责，凡被举报查实证明材料弄虚作假的，按规定取消本次应聘资格或予以辞聘、清退。</w:t>
      </w:r>
    </w:p>
    <w:p w14:paraId="71220BAF">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基层工作经历的时间可按月累计，合计服务时间满24个月，视为具有两年基层工作经历。</w:t>
      </w:r>
    </w:p>
    <w:p w14:paraId="4E255A6A">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四、专业如何认定？</w:t>
      </w:r>
    </w:p>
    <w:p w14:paraId="4C4A440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B1138D4">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themeColor="text1"/>
          <w:sz w:val="28"/>
          <w:szCs w:val="28"/>
          <w14:textFill>
            <w14:solidFill>
              <w14:schemeClr w14:val="tx1"/>
            </w14:solidFill>
          </w14:textFill>
        </w:rPr>
        <w:t>门</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专业</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或一级学科</w:t>
      </w:r>
      <w:r>
        <w:rPr>
          <w:rFonts w:ascii="仿宋_GB2312" w:hAnsi="仿宋_GB2312" w:eastAsia="仿宋_GB2312" w:cs="仿宋_GB2312"/>
          <w:color w:val="000000" w:themeColor="text1"/>
          <w:sz w:val="28"/>
          <w:szCs w:val="28"/>
          <w14:textFill>
            <w14:solidFill>
              <w14:schemeClr w14:val="tx1"/>
            </w14:solidFill>
          </w14:textFill>
        </w:rPr>
        <w:t>的，即该</w:t>
      </w:r>
      <w:r>
        <w:rPr>
          <w:rFonts w:hint="eastAsia" w:ascii="仿宋_GB2312" w:hAnsi="仿宋_GB2312" w:eastAsia="仿宋_GB2312" w:cs="仿宋_GB2312"/>
          <w:color w:val="000000" w:themeColor="text1"/>
          <w:sz w:val="28"/>
          <w:szCs w:val="28"/>
          <w14:textFill>
            <w14:solidFill>
              <w14:schemeClr w14:val="tx1"/>
            </w14:solidFill>
          </w14:textFill>
        </w:rPr>
        <w:t>门</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专业</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或一级学科</w:t>
      </w:r>
      <w:r>
        <w:rPr>
          <w:rFonts w:ascii="仿宋_GB2312" w:hAnsi="仿宋_GB2312" w:eastAsia="仿宋_GB2312" w:cs="仿宋_GB2312"/>
          <w:color w:val="000000" w:themeColor="text1"/>
          <w:sz w:val="28"/>
          <w:szCs w:val="28"/>
          <w14:textFill>
            <w14:solidFill>
              <w14:schemeClr w14:val="tx1"/>
            </w14:solidFill>
          </w14:textFill>
        </w:rPr>
        <w:t>所包含的专业均符合要求。</w:t>
      </w:r>
      <w:r>
        <w:rPr>
          <w:rFonts w:hint="eastAsia" w:ascii="仿宋_GB2312" w:hAnsi="仿宋_GB2312" w:eastAsia="仿宋_GB2312" w:cs="仿宋_GB2312"/>
          <w:color w:val="000000" w:themeColor="text1"/>
          <w:sz w:val="28"/>
          <w:szCs w:val="28"/>
          <w14:textFill>
            <w14:solidFill>
              <w14:schemeClr w14:val="tx1"/>
            </w14:solidFill>
          </w14:textFill>
        </w:rPr>
        <w:t>如果考生毕业证或学位证上的专业名称是一级学科（专业类）,而招聘公告设置的专业条件是二级学科（专业）的,则以考生所在高校出具的证明材料进行综合认定。</w:t>
      </w:r>
    </w:p>
    <w:p w14:paraId="0D4D5336">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专业要求中的大学</w:t>
      </w:r>
      <w:r>
        <w:rPr>
          <w:rFonts w:hint="eastAsia" w:ascii="仿宋_GB2312" w:hAnsi="仿宋_GB2312" w:eastAsia="仿宋_GB2312" w:cs="仿宋_GB2312"/>
          <w:color w:val="000000" w:themeColor="text1"/>
          <w:sz w:val="28"/>
          <w:szCs w:val="28"/>
          <w14:textFill>
            <w14:solidFill>
              <w14:schemeClr w14:val="tx1"/>
            </w14:solidFill>
          </w14:textFill>
        </w:rPr>
        <w:t>专科、</w:t>
      </w:r>
      <w:r>
        <w:rPr>
          <w:rFonts w:ascii="仿宋_GB2312" w:hAnsi="仿宋_GB2312" w:eastAsia="仿宋_GB2312" w:cs="仿宋_GB2312"/>
          <w:color w:val="000000" w:themeColor="text1"/>
          <w:sz w:val="28"/>
          <w:szCs w:val="28"/>
          <w14:textFill>
            <w14:solidFill>
              <w14:schemeClr w14:val="tx1"/>
            </w14:solidFill>
          </w14:textFill>
        </w:rPr>
        <w:t>本科、研究生专业参考目录</w:t>
      </w:r>
      <w:r>
        <w:rPr>
          <w:rFonts w:hint="eastAsia" w:ascii="仿宋_GB2312" w:hAnsi="仿宋_GB2312" w:eastAsia="仿宋_GB2312" w:cs="仿宋_GB2312"/>
          <w:color w:val="000000" w:themeColor="text1"/>
          <w:sz w:val="28"/>
          <w:szCs w:val="28"/>
          <w14:textFill>
            <w14:solidFill>
              <w14:schemeClr w14:val="tx1"/>
            </w14:solidFill>
          </w14:textFill>
        </w:rPr>
        <w:t>主要</w:t>
      </w:r>
      <w:r>
        <w:rPr>
          <w:rFonts w:ascii="仿宋_GB2312" w:hAnsi="仿宋_GB2312" w:eastAsia="仿宋_GB2312" w:cs="仿宋_GB2312"/>
          <w:color w:val="000000" w:themeColor="text1"/>
          <w:sz w:val="28"/>
          <w:szCs w:val="28"/>
          <w14:textFill>
            <w14:solidFill>
              <w14:schemeClr w14:val="tx1"/>
            </w14:solidFill>
          </w14:textFill>
        </w:rPr>
        <w:t>为教育部印发的</w:t>
      </w:r>
      <w:r>
        <w:rPr>
          <w:rFonts w:hint="eastAsia" w:ascii="仿宋_GB2312" w:hAnsi="仿宋_GB2312" w:eastAsia="仿宋_GB2312" w:cs="仿宋_GB2312"/>
          <w:color w:val="000000" w:themeColor="text1"/>
          <w:sz w:val="28"/>
          <w:szCs w:val="28"/>
          <w14:textFill>
            <w14:solidFill>
              <w14:schemeClr w14:val="tx1"/>
            </w14:solidFill>
          </w14:textFill>
        </w:rPr>
        <w:t>《职业教育专业目录（2021年）》</w:t>
      </w:r>
      <w:r>
        <w:rPr>
          <w:rFonts w:ascii="仿宋_GB2312" w:hAnsi="仿宋_GB2312" w:eastAsia="仿宋_GB2312" w:cs="仿宋_GB2312"/>
          <w:color w:val="000000" w:themeColor="text1"/>
          <w:sz w:val="28"/>
          <w:szCs w:val="28"/>
          <w14:textFill>
            <w14:solidFill>
              <w14:schemeClr w14:val="tx1"/>
            </w14:solidFill>
          </w14:textFill>
        </w:rPr>
        <w:t>《国家普通高等学校本科专业目录（2024年）》《研究生教育学科专业目录（2022年）》</w:t>
      </w:r>
      <w:r>
        <w:rPr>
          <w:rFonts w:hint="eastAsia" w:ascii="仿宋_GB2312" w:hAnsi="仿宋_GB2312" w:eastAsia="仿宋_GB2312" w:cs="仿宋_GB2312"/>
          <w:color w:val="000000" w:themeColor="text1"/>
          <w:sz w:val="28"/>
          <w:szCs w:val="28"/>
          <w14:textFill>
            <w14:solidFill>
              <w14:schemeClr w14:val="tx1"/>
            </w14:solidFill>
          </w14:textFill>
        </w:rPr>
        <w:t>，并结合国内高校实际开设的专业合理设置。</w:t>
      </w:r>
    </w:p>
    <w:p w14:paraId="4505E6D9">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000000" w:themeColor="text1"/>
          <w:sz w:val="28"/>
          <w:szCs w:val="28"/>
          <w14:textFill>
            <w14:solidFill>
              <w14:schemeClr w14:val="tx1"/>
            </w14:solidFill>
          </w14:textFill>
        </w:rPr>
        <w:t>可</w:t>
      </w:r>
      <w:r>
        <w:rPr>
          <w:rFonts w:ascii="仿宋_GB2312" w:hAnsi="仿宋_GB2312" w:eastAsia="仿宋_GB2312" w:cs="仿宋_GB2312"/>
          <w:color w:val="000000" w:themeColor="text1"/>
          <w:sz w:val="28"/>
          <w:szCs w:val="28"/>
          <w14:textFill>
            <w14:solidFill>
              <w14:schemeClr w14:val="tx1"/>
            </w14:solidFill>
          </w14:textFill>
        </w:rPr>
        <w:t>通过相关高校</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相关科研机构</w:t>
      </w:r>
      <w:r>
        <w:rPr>
          <w:rFonts w:hint="eastAsia" w:ascii="仿宋_GB2312" w:hAnsi="仿宋_GB2312" w:eastAsia="仿宋_GB2312" w:cs="仿宋_GB2312"/>
          <w:color w:val="000000" w:themeColor="text1"/>
          <w:sz w:val="28"/>
          <w:szCs w:val="28"/>
          <w14:textFill>
            <w14:solidFill>
              <w14:schemeClr w14:val="tx1"/>
            </w14:solidFill>
          </w14:textFill>
        </w:rPr>
        <w:t>、专家</w:t>
      </w:r>
      <w:r>
        <w:rPr>
          <w:rFonts w:ascii="仿宋_GB2312" w:hAnsi="仿宋_GB2312" w:eastAsia="仿宋_GB2312" w:cs="仿宋_GB2312"/>
          <w:color w:val="000000" w:themeColor="text1"/>
          <w:sz w:val="28"/>
          <w:szCs w:val="28"/>
          <w14:textFill>
            <w14:solidFill>
              <w14:schemeClr w14:val="tx1"/>
            </w14:solidFill>
          </w14:textFill>
        </w:rPr>
        <w:t>等第三方，结合所学课程、研究方向等对其留学所学专业进行认定，认定为相似专业的视为专业条件合格。</w:t>
      </w:r>
    </w:p>
    <w:p w14:paraId="3C9D2FAC">
      <w:pPr>
        <w:widowControl/>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在符合专业等其他条件前提下，</w:t>
      </w:r>
      <w:r>
        <w:rPr>
          <w:rFonts w:ascii="仿宋_GB2312" w:hAnsi="仿宋_GB2312" w:eastAsia="仿宋_GB2312" w:cs="仿宋_GB2312"/>
          <w:color w:val="000000" w:themeColor="text1"/>
          <w:sz w:val="28"/>
          <w:szCs w:val="28"/>
          <w14:textFill>
            <w14:solidFill>
              <w14:schemeClr w14:val="tx1"/>
            </w14:solidFill>
          </w14:textFill>
        </w:rPr>
        <w:t>技工院校高级工班</w:t>
      </w:r>
      <w:r>
        <w:rPr>
          <w:rFonts w:hint="eastAsia" w:ascii="仿宋_GB2312" w:hAnsi="仿宋_GB2312" w:eastAsia="仿宋_GB2312" w:cs="仿宋_GB2312"/>
          <w:color w:val="000000" w:themeColor="text1"/>
          <w:sz w:val="28"/>
          <w:szCs w:val="28"/>
          <w14:textFill>
            <w14:solidFill>
              <w14:schemeClr w14:val="tx1"/>
            </w14:solidFill>
          </w14:textFill>
        </w:rPr>
        <w:t>毕业生可报名应聘学历要求为专科的岗位，</w:t>
      </w:r>
      <w:r>
        <w:rPr>
          <w:rFonts w:ascii="仿宋_GB2312" w:hAnsi="仿宋_GB2312" w:eastAsia="仿宋_GB2312" w:cs="仿宋_GB2312"/>
          <w:color w:val="000000" w:themeColor="text1"/>
          <w:sz w:val="28"/>
          <w:szCs w:val="28"/>
          <w14:textFill>
            <w14:solidFill>
              <w14:schemeClr w14:val="tx1"/>
            </w14:solidFill>
          </w14:textFill>
        </w:rPr>
        <w:t>预备技师（技师）班毕业</w:t>
      </w:r>
      <w:r>
        <w:rPr>
          <w:rFonts w:hint="eastAsia" w:ascii="仿宋_GB2312" w:hAnsi="仿宋_GB2312" w:eastAsia="仿宋_GB2312" w:cs="仿宋_GB2312"/>
          <w:color w:val="000000" w:themeColor="text1"/>
          <w:sz w:val="28"/>
          <w:szCs w:val="28"/>
          <w14:textFill>
            <w14:solidFill>
              <w14:schemeClr w14:val="tx1"/>
            </w14:solidFill>
          </w14:textFill>
        </w:rPr>
        <w:t>生可报名应聘</w:t>
      </w:r>
      <w:r>
        <w:rPr>
          <w:rFonts w:ascii="仿宋_GB2312" w:hAnsi="仿宋_GB2312" w:eastAsia="仿宋_GB2312" w:cs="仿宋_GB2312"/>
          <w:color w:val="000000" w:themeColor="text1"/>
          <w:sz w:val="28"/>
          <w:szCs w:val="28"/>
          <w14:textFill>
            <w14:solidFill>
              <w14:schemeClr w14:val="tx1"/>
            </w14:solidFill>
          </w14:textFill>
        </w:rPr>
        <w:t>学历</w:t>
      </w:r>
      <w:r>
        <w:rPr>
          <w:rFonts w:hint="eastAsia" w:ascii="仿宋_GB2312" w:hAnsi="仿宋_GB2312" w:eastAsia="仿宋_GB2312" w:cs="仿宋_GB2312"/>
          <w:color w:val="000000" w:themeColor="text1"/>
          <w:sz w:val="28"/>
          <w:szCs w:val="28"/>
          <w14:textFill>
            <w14:solidFill>
              <w14:schemeClr w14:val="tx1"/>
            </w14:solidFill>
          </w14:textFill>
        </w:rPr>
        <w:t>要求为大学本科的岗位。专业设置以</w:t>
      </w:r>
      <w:r>
        <w:rPr>
          <w:rFonts w:ascii="仿宋_GB2312" w:hAnsi="仿宋_GB2312" w:eastAsia="仿宋_GB2312" w:cs="仿宋_GB2312"/>
          <w:color w:val="000000" w:themeColor="text1"/>
          <w:sz w:val="28"/>
          <w:szCs w:val="28"/>
          <w14:textFill>
            <w14:solidFill>
              <w14:schemeClr w14:val="tx1"/>
            </w14:solidFill>
          </w14:textFill>
        </w:rPr>
        <w:t>人力资源社会保障部制定的全国技工院校专业目录</w:t>
      </w:r>
      <w:r>
        <w:rPr>
          <w:rFonts w:hint="eastAsia" w:ascii="仿宋_GB2312" w:hAnsi="仿宋_GB2312" w:eastAsia="仿宋_GB2312" w:cs="仿宋_GB2312"/>
          <w:color w:val="000000" w:themeColor="text1"/>
          <w:sz w:val="28"/>
          <w:szCs w:val="28"/>
          <w14:textFill>
            <w14:solidFill>
              <w14:schemeClr w14:val="tx1"/>
            </w14:solidFill>
          </w14:textFill>
        </w:rPr>
        <w:t>为准。</w:t>
      </w:r>
    </w:p>
    <w:p w14:paraId="22BFD79F">
      <w:pPr>
        <w:widowControl/>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国内非普通高等学历教育的其他</w:t>
      </w:r>
      <w:r>
        <w:rPr>
          <w:rFonts w:hint="eastAsia" w:ascii="仿宋_GB2312" w:hAnsi="仿宋_GB2312" w:eastAsia="仿宋_GB2312" w:cs="仿宋_GB2312"/>
          <w:color w:val="000000" w:themeColor="text1"/>
          <w:sz w:val="28"/>
          <w:szCs w:val="28"/>
          <w14:textFill>
            <w14:solidFill>
              <w14:schemeClr w14:val="tx1"/>
            </w14:solidFill>
          </w14:textFill>
        </w:rPr>
        <w:t>国民</w:t>
      </w:r>
      <w:r>
        <w:rPr>
          <w:rFonts w:ascii="仿宋_GB2312" w:hAnsi="仿宋_GB2312" w:eastAsia="仿宋_GB2312" w:cs="仿宋_GB2312"/>
          <w:color w:val="000000" w:themeColor="text1"/>
          <w:sz w:val="28"/>
          <w:szCs w:val="28"/>
          <w14:textFill>
            <w14:solidFill>
              <w14:schemeClr w14:val="tx1"/>
            </w14:solidFill>
          </w14:textFill>
        </w:rPr>
        <w:t>教育形式（自学考试、成人教育、网络教育、夜大、电大等）毕业生取得毕业证（学位证），符合岗位要求资格条件的，均可应聘。</w:t>
      </w:r>
    </w:p>
    <w:p w14:paraId="0B1F32E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w:t>
      </w:r>
      <w:r>
        <w:rPr>
          <w:rFonts w:hint="eastAsia" w:ascii="仿宋_GB2312" w:hAnsi="仿宋_GB2312" w:eastAsia="仿宋_GB2312" w:cs="仿宋_GB2312"/>
          <w:color w:val="000000" w:themeColor="text1"/>
          <w:sz w:val="28"/>
          <w:szCs w:val="28"/>
          <w14:textFill>
            <w14:solidFill>
              <w14:schemeClr w14:val="tx1"/>
            </w14:solidFill>
          </w14:textFill>
        </w:rPr>
        <w:t>个别涉及</w:t>
      </w:r>
      <w:r>
        <w:rPr>
          <w:rFonts w:ascii="仿宋_GB2312" w:hAnsi="仿宋_GB2312" w:eastAsia="仿宋_GB2312" w:cs="仿宋_GB2312"/>
          <w:color w:val="000000" w:themeColor="text1"/>
          <w:sz w:val="28"/>
          <w:szCs w:val="28"/>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名称及代码等</w:t>
      </w:r>
      <w:r>
        <w:rPr>
          <w:rFonts w:ascii="仿宋_GB2312" w:hAnsi="仿宋_GB2312" w:eastAsia="仿宋_GB2312" w:cs="仿宋_GB2312"/>
          <w:color w:val="000000" w:themeColor="text1"/>
          <w:sz w:val="28"/>
          <w:szCs w:val="28"/>
          <w14:textFill>
            <w14:solidFill>
              <w14:schemeClr w14:val="tx1"/>
            </w14:solidFill>
          </w14:textFill>
        </w:rPr>
        <w:t>调整的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以国家教育部门发文为</w:t>
      </w:r>
      <w:r>
        <w:rPr>
          <w:rFonts w:hint="eastAsia" w:ascii="仿宋_GB2312" w:hAnsi="仿宋_GB2312" w:eastAsia="仿宋_GB2312" w:cs="仿宋_GB2312"/>
          <w:color w:val="000000" w:themeColor="text1"/>
          <w:sz w:val="28"/>
          <w:szCs w:val="28"/>
          <w14:textFill>
            <w14:solidFill>
              <w14:schemeClr w14:val="tx1"/>
            </w14:solidFill>
          </w14:textFill>
        </w:rPr>
        <w:t>依据进行认定</w:t>
      </w:r>
      <w:r>
        <w:rPr>
          <w:rFonts w:ascii="仿宋_GB2312" w:hAnsi="仿宋_GB2312" w:eastAsia="仿宋_GB2312" w:cs="仿宋_GB2312"/>
          <w:color w:val="000000" w:themeColor="text1"/>
          <w:sz w:val="28"/>
          <w:szCs w:val="28"/>
          <w14:textFill>
            <w14:solidFill>
              <w14:schemeClr w14:val="tx1"/>
            </w14:solidFill>
          </w14:textFill>
        </w:rPr>
        <w:t>。出现新旧专业比对认定争议时,原则上以</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就读高等学校依据教育部下发的关于新旧学科专业调整的有效文件或</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就读的高等学校依据省级以上教育部门有关文件</w:t>
      </w:r>
      <w:r>
        <w:rPr>
          <w:rFonts w:hint="eastAsia" w:ascii="仿宋_GB2312" w:hAnsi="仿宋_GB2312" w:eastAsia="仿宋_GB2312" w:cs="仿宋_GB2312"/>
          <w:color w:val="000000" w:themeColor="text1"/>
          <w:sz w:val="28"/>
          <w:szCs w:val="28"/>
          <w14:textFill>
            <w14:solidFill>
              <w14:schemeClr w14:val="tx1"/>
            </w14:solidFill>
          </w14:textFill>
        </w:rPr>
        <w:t>或</w:t>
      </w:r>
      <w:r>
        <w:rPr>
          <w:rFonts w:ascii="仿宋_GB2312" w:hAnsi="仿宋_GB2312" w:eastAsia="仿宋_GB2312" w:cs="仿宋_GB2312"/>
          <w:color w:val="000000" w:themeColor="text1"/>
          <w:sz w:val="28"/>
          <w:szCs w:val="28"/>
          <w14:textFill>
            <w14:solidFill>
              <w14:schemeClr w14:val="tx1"/>
            </w14:solidFill>
          </w14:textFill>
        </w:rPr>
        <w:t>有关规定出具的有效专业证明材料进行</w:t>
      </w:r>
      <w:r>
        <w:rPr>
          <w:rFonts w:hint="eastAsia" w:ascii="仿宋_GB2312" w:hAnsi="仿宋_GB2312" w:eastAsia="仿宋_GB2312" w:cs="仿宋_GB2312"/>
          <w:color w:val="000000" w:themeColor="text1"/>
          <w:sz w:val="28"/>
          <w:szCs w:val="28"/>
          <w14:textFill>
            <w14:solidFill>
              <w14:schemeClr w14:val="tx1"/>
            </w14:solidFill>
          </w14:textFill>
        </w:rPr>
        <w:t>综合认定，招聘单位及其主管部门不得简单以学科专业不在参考目录为由不予通过审查</w:t>
      </w:r>
      <w:r>
        <w:rPr>
          <w:rFonts w:ascii="仿宋_GB2312" w:hAnsi="仿宋_GB2312" w:eastAsia="仿宋_GB2312" w:cs="仿宋_GB2312"/>
          <w:color w:val="000000" w:themeColor="text1"/>
          <w:sz w:val="28"/>
          <w:szCs w:val="28"/>
          <w14:textFill>
            <w14:solidFill>
              <w14:schemeClr w14:val="tx1"/>
            </w14:solidFill>
          </w14:textFill>
        </w:rPr>
        <w:t>。</w:t>
      </w:r>
    </w:p>
    <w:p w14:paraId="3EE372F6">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w:t>
      </w:r>
      <w:r>
        <w:rPr>
          <w:rFonts w:ascii="黑体" w:hAnsi="黑体" w:eastAsia="黑体" w:cs="黑体"/>
          <w:color w:val="000000" w:themeColor="text1"/>
          <w:sz w:val="28"/>
          <w:szCs w:val="28"/>
          <w14:textFill>
            <w14:solidFill>
              <w14:schemeClr w14:val="tx1"/>
            </w14:solidFill>
          </w14:textFill>
        </w:rPr>
        <w:t>、本次招聘中政策性加分如何办理？</w:t>
      </w:r>
    </w:p>
    <w:p w14:paraId="0C3C13F5">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B47C42A">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符合加分政策规定的应聘人员，在笔试总成绩（与面试成绩按比例折合前）中加分，不同加分项目可累计计算，最高不超过6分。</w:t>
      </w:r>
    </w:p>
    <w:p w14:paraId="3E0C9ED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符合加分政策规定的应聘人员需提供以下材料：</w:t>
      </w:r>
    </w:p>
    <w:p w14:paraId="4665FF12">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1.“大学生志愿服务西部计划”“三支一扶”计划、“特岗教师计划”</w:t>
      </w:r>
      <w:r>
        <w:rPr>
          <w:rFonts w:hint="eastAsia" w:ascii="仿宋_GB2312" w:hAnsi="仿宋_GB2312" w:eastAsia="仿宋_GB2312" w:cs="仿宋_GB2312"/>
          <w:color w:val="000000" w:themeColor="text1"/>
          <w:sz w:val="28"/>
          <w:szCs w:val="28"/>
          <w14:textFill>
            <w14:solidFill>
              <w14:schemeClr w14:val="tx1"/>
            </w14:solidFill>
          </w14:textFill>
        </w:rPr>
        <w:t>“应急岗位”“公卫特别岗”</w:t>
      </w:r>
      <w:r>
        <w:rPr>
          <w:rFonts w:ascii="仿宋_GB2312" w:hAnsi="仿宋_GB2312" w:eastAsia="仿宋_GB2312" w:cs="仿宋_GB2312"/>
          <w:color w:val="000000" w:themeColor="text1"/>
          <w:sz w:val="28"/>
          <w:szCs w:val="28"/>
          <w14:textFill>
            <w14:solidFill>
              <w14:schemeClr w14:val="tx1"/>
            </w14:solidFill>
          </w14:textFill>
        </w:rPr>
        <w:t>人员：</w:t>
      </w:r>
      <w:r>
        <w:rPr>
          <w:rFonts w:hint="eastAsia" w:ascii="仿宋_GB2312" w:hAnsi="仿宋_GB2312" w:eastAsia="仿宋_GB2312" w:cs="仿宋_GB2312"/>
          <w:color w:val="000000" w:themeColor="text1"/>
          <w:sz w:val="28"/>
          <w:szCs w:val="28"/>
          <w14:textFill>
            <w14:solidFill>
              <w14:schemeClr w14:val="tx1"/>
            </w14:solidFill>
          </w14:textFill>
        </w:rPr>
        <w:t>年度</w:t>
      </w:r>
      <w:r>
        <w:rPr>
          <w:rFonts w:ascii="仿宋_GB2312" w:hAnsi="仿宋_GB2312" w:eastAsia="仿宋_GB2312" w:cs="仿宋_GB2312"/>
          <w:color w:val="000000" w:themeColor="text1"/>
          <w:sz w:val="28"/>
          <w:szCs w:val="28"/>
          <w14:textFill>
            <w14:solidFill>
              <w14:schemeClr w14:val="tx1"/>
            </w14:solidFill>
          </w14:textFill>
        </w:rPr>
        <w:t>考核材料、服务合同（协议）和服务证书等</w:t>
      </w:r>
      <w:r>
        <w:rPr>
          <w:rFonts w:hint="eastAsia" w:ascii="仿宋_GB2312" w:hAnsi="仿宋_GB2312" w:eastAsia="仿宋_GB2312" w:cs="仿宋_GB2312"/>
          <w:color w:val="000000" w:themeColor="text1"/>
          <w:sz w:val="28"/>
          <w:szCs w:val="28"/>
          <w14:textFill>
            <w14:solidFill>
              <w14:schemeClr w14:val="tx1"/>
            </w14:solidFill>
          </w14:textFill>
        </w:rPr>
        <w:t>能证明身份及符合相关条件的</w:t>
      </w:r>
      <w:r>
        <w:rPr>
          <w:rFonts w:ascii="仿宋_GB2312" w:hAnsi="仿宋_GB2312" w:eastAsia="仿宋_GB2312" w:cs="仿宋_GB2312"/>
          <w:color w:val="000000" w:themeColor="text1"/>
          <w:sz w:val="28"/>
          <w:szCs w:val="28"/>
          <w14:textFill>
            <w14:solidFill>
              <w14:schemeClr w14:val="tx1"/>
            </w14:solidFill>
          </w14:textFill>
        </w:rPr>
        <w:t>材料</w:t>
      </w:r>
      <w:r>
        <w:rPr>
          <w:rFonts w:hint="eastAsia" w:ascii="仿宋_GB2312" w:hAnsi="仿宋_GB2312" w:eastAsia="仿宋_GB2312" w:cs="仿宋_GB2312"/>
          <w:color w:val="000000" w:themeColor="text1"/>
          <w:sz w:val="28"/>
          <w:szCs w:val="28"/>
          <w14:textFill>
            <w14:solidFill>
              <w14:schemeClr w14:val="tx1"/>
            </w14:solidFill>
          </w14:textFill>
        </w:rPr>
        <w:t>即可</w:t>
      </w:r>
      <w:r>
        <w:rPr>
          <w:rFonts w:ascii="仿宋_GB2312" w:hAnsi="仿宋_GB2312" w:eastAsia="仿宋_GB2312" w:cs="仿宋_GB2312"/>
          <w:color w:val="000000" w:themeColor="text1"/>
          <w:sz w:val="28"/>
          <w:szCs w:val="28"/>
          <w14:textFill>
            <w14:solidFill>
              <w14:schemeClr w14:val="tx1"/>
            </w14:solidFill>
          </w14:textFill>
        </w:rPr>
        <w:t>。</w:t>
      </w:r>
    </w:p>
    <w:p w14:paraId="1B6D95A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2.申请加分的退役大学生士兵，须提供本人有效的《退出现役证》《优秀士兵证》《优秀士官证》《优秀义务兵证》《优秀学员证》等有关奖励证书（证章）和专科及以上毕业证等材料原件及复印件。</w:t>
      </w:r>
    </w:p>
    <w:p w14:paraId="7524CFCA">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机关事业单位在编人员以及从机关事业单位辞职、辞退、辞聘、解聘等人员，不享受加分</w:t>
      </w:r>
      <w:r>
        <w:rPr>
          <w:rFonts w:hint="eastAsia" w:ascii="仿宋_GB2312" w:hAnsi="仿宋_GB2312" w:eastAsia="仿宋_GB2312" w:cs="仿宋_GB2312"/>
          <w:color w:val="000000" w:themeColor="text1"/>
          <w:sz w:val="28"/>
          <w:szCs w:val="28"/>
          <w14:textFill>
            <w14:solidFill>
              <w14:schemeClr w14:val="tx1"/>
            </w14:solidFill>
          </w14:textFill>
        </w:rPr>
        <w:t>、定向</w:t>
      </w:r>
      <w:r>
        <w:rPr>
          <w:rFonts w:ascii="仿宋_GB2312" w:hAnsi="仿宋_GB2312" w:eastAsia="仿宋_GB2312" w:cs="仿宋_GB2312"/>
          <w:color w:val="000000" w:themeColor="text1"/>
          <w:sz w:val="28"/>
          <w:szCs w:val="28"/>
          <w14:textFill>
            <w14:solidFill>
              <w14:schemeClr w14:val="tx1"/>
            </w14:solidFill>
          </w14:textFill>
        </w:rPr>
        <w:t>政策。</w:t>
      </w:r>
    </w:p>
    <w:p w14:paraId="1FCA6430">
      <w:pPr>
        <w:spacing w:line="500" w:lineRule="exact"/>
        <w:ind w:firstLine="560" w:firstLineChars="200"/>
        <w:rPr>
          <w:rFonts w:hint="eastAsia"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2543E672">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w:t>
      </w:r>
      <w:r>
        <w:rPr>
          <w:rFonts w:ascii="黑体" w:hAnsi="黑体" w:eastAsia="黑体" w:cs="黑体"/>
          <w:color w:val="000000" w:themeColor="text1"/>
          <w:sz w:val="28"/>
          <w:szCs w:val="28"/>
          <w14:textFill>
            <w14:solidFill>
              <w14:schemeClr w14:val="tx1"/>
            </w14:solidFill>
          </w14:textFill>
        </w:rPr>
        <w:t>、本次招聘中需提供哪些面试资格审查材料？</w:t>
      </w:r>
    </w:p>
    <w:p w14:paraId="6DDB031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1.《应聘资格审查表》2份（请在</w:t>
      </w:r>
      <w:r>
        <w:rPr>
          <w:rFonts w:hint="eastAsia" w:ascii="仿宋_GB2312" w:hAnsi="仿宋_GB2312" w:eastAsia="仿宋_GB2312" w:cs="仿宋_GB2312"/>
          <w:color w:val="000000" w:themeColor="text1"/>
          <w:sz w:val="28"/>
          <w:szCs w:val="28"/>
          <w14:textFill>
            <w14:solidFill>
              <w14:schemeClr w14:val="tx1"/>
            </w14:solidFill>
          </w14:textFill>
        </w:rPr>
        <w:t>成都人事考试网</w:t>
      </w:r>
      <w:r>
        <w:rPr>
          <w:rFonts w:ascii="仿宋_GB2312" w:hAnsi="仿宋_GB2312" w:eastAsia="仿宋_GB2312" w:cs="仿宋_GB2312"/>
          <w:color w:val="000000" w:themeColor="text1"/>
          <w:sz w:val="28"/>
          <w:szCs w:val="28"/>
          <w14:textFill>
            <w14:solidFill>
              <w14:schemeClr w14:val="tx1"/>
            </w14:solidFill>
          </w14:textFill>
        </w:rPr>
        <w:t>自行打印并按要求张贴近期2寸免冠证件照片）；</w:t>
      </w:r>
    </w:p>
    <w:p w14:paraId="184FD05D">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2.身份证原件和复印件1份；</w:t>
      </w:r>
    </w:p>
    <w:p w14:paraId="4B40E23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3.有效的学位证（有学位要求的，下同）、毕业证原件和复印件1份。</w:t>
      </w:r>
    </w:p>
    <w:p w14:paraId="139BA5FC">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000000" w:themeColor="text1"/>
          <w:sz w:val="28"/>
          <w:szCs w:val="28"/>
          <w14:textFill>
            <w14:solidFill>
              <w14:schemeClr w14:val="tx1"/>
            </w14:solidFill>
          </w14:textFill>
        </w:rPr>
        <w:t>其中，参加面试资格审查时，</w:t>
      </w:r>
      <w:r>
        <w:rPr>
          <w:rFonts w:hint="eastAsia" w:ascii="仿宋_GB2312" w:hAnsi="仿宋_GB2312" w:eastAsia="仿宋_GB2312" w:cs="仿宋_GB2312"/>
          <w:color w:val="000000" w:themeColor="text1"/>
          <w:sz w:val="28"/>
          <w:szCs w:val="28"/>
          <w14:textFill>
            <w14:solidFill>
              <w14:schemeClr w14:val="tx1"/>
            </w14:solidFill>
          </w14:textFill>
        </w:rPr>
        <w:t>2026年高校应届毕业生</w:t>
      </w:r>
      <w:r>
        <w:rPr>
          <w:rFonts w:ascii="仿宋_GB2312" w:hAnsi="仿宋_GB2312" w:eastAsia="仿宋_GB2312" w:cs="仿宋_GB2312"/>
          <w:color w:val="000000" w:themeColor="text1"/>
          <w:sz w:val="28"/>
          <w:szCs w:val="28"/>
          <w14:textFill>
            <w14:solidFill>
              <w14:schemeClr w14:val="tx1"/>
            </w14:solidFill>
          </w14:textFill>
        </w:rPr>
        <w:t>尚未取得毕业证和学位证的，需提供学生证原件及复印件1份，学校主管毕业生就业工作部门开具的就读院</w:t>
      </w:r>
      <w:r>
        <w:rPr>
          <w:rFonts w:ascii="仿宋_GB2312" w:hAnsi="仿宋_GB2312" w:eastAsia="仿宋_GB2312" w:cs="仿宋_GB2312"/>
          <w:color w:val="auto"/>
          <w:sz w:val="28"/>
          <w:szCs w:val="28"/>
        </w:rPr>
        <w:t>系及专业等情况的证明原件。</w:t>
      </w:r>
    </w:p>
    <w:p w14:paraId="2836F817">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4.其他与报考资格相关的材料。其中报考定向招聘岗位的退役军人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还须提供档案中的应征入伍、退出现役相关资料1份。报考具有工作经历要求的岗位须提供明确相关工作经历的聘用合同（劳动合同）、社保缴纳证明和其他相关证明材料原件、复印件各1份。</w:t>
      </w:r>
    </w:p>
    <w:p w14:paraId="0BA2F7F9">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留学归国人员应持国家教育部留学服务中心认证学历、学位参加资格审查。</w:t>
      </w:r>
    </w:p>
    <w:p w14:paraId="147EB47E">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r>
        <w:rPr>
          <w:rFonts w:ascii="黑体" w:hAnsi="黑体" w:eastAsia="黑体" w:cs="黑体"/>
          <w:color w:val="000000" w:themeColor="text1"/>
          <w:sz w:val="28"/>
          <w:szCs w:val="28"/>
          <w14:textFill>
            <w14:solidFill>
              <w14:schemeClr w14:val="tx1"/>
            </w14:solidFill>
          </w14:textFill>
        </w:rPr>
        <w:t>、违纪违规及存在不诚信情形的应聘人员如何处理？</w:t>
      </w:r>
    </w:p>
    <w:p w14:paraId="3D2D1019">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9354EE1">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1B312C9">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八</w:t>
      </w:r>
      <w:r>
        <w:rPr>
          <w:rFonts w:ascii="黑体" w:hAnsi="黑体" w:eastAsia="黑体" w:cs="黑体"/>
          <w:color w:val="000000" w:themeColor="text1"/>
          <w:sz w:val="28"/>
          <w:szCs w:val="28"/>
          <w14:textFill>
            <w14:solidFill>
              <w14:schemeClr w14:val="tx1"/>
            </w14:solidFill>
          </w14:textFill>
        </w:rPr>
        <w:t>、申请减免报考费用</w:t>
      </w:r>
      <w:r>
        <w:rPr>
          <w:rFonts w:hint="eastAsia" w:ascii="黑体" w:hAnsi="黑体" w:eastAsia="黑体" w:cs="黑体"/>
          <w:color w:val="000000" w:themeColor="text1"/>
          <w:sz w:val="28"/>
          <w:szCs w:val="28"/>
          <w14:textFill>
            <w14:solidFill>
              <w14:schemeClr w14:val="tx1"/>
            </w14:solidFill>
          </w14:textFill>
        </w:rPr>
        <w:t>办理手续</w:t>
      </w:r>
    </w:p>
    <w:p w14:paraId="3EC3CD9C">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1.适用人员：享受国家最低生活保障金的城镇、农村家庭考生；脱贫户家庭考生；父母双亡、父母一方为烈士或一级伤残军人，且生活十分困难家庭考生。</w:t>
      </w:r>
    </w:p>
    <w:p w14:paraId="4A5733C4">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2.办理地点：成都市人事考试中心（成都市青羊区清江东路118号3号楼一楼报名大厅，联系电话：028-61802812，</w:t>
      </w:r>
      <w:r>
        <w:rPr>
          <w:rFonts w:ascii="仿宋_GB2312" w:eastAsia="仿宋_GB2312"/>
          <w:snapToGrid w:val="0"/>
          <w:color w:val="000000" w:themeColor="text1"/>
          <w:kern w:val="0"/>
          <w:sz w:val="28"/>
          <w:szCs w:val="28"/>
          <w14:textFill>
            <w14:solidFill>
              <w14:schemeClr w14:val="tx1"/>
            </w14:solidFill>
          </w14:textFill>
        </w:rPr>
        <w:t>028-61802797</w:t>
      </w:r>
      <w:r>
        <w:rPr>
          <w:rFonts w:hint="eastAsia" w:ascii="仿宋_GB2312" w:hAnsi="仿宋_GB2312" w:eastAsia="仿宋_GB2312" w:cs="仿宋_GB2312"/>
          <w:color w:val="000000" w:themeColor="text1"/>
          <w:sz w:val="28"/>
          <w:szCs w:val="28"/>
          <w14:textFill>
            <w14:solidFill>
              <w14:schemeClr w14:val="tx1"/>
            </w14:solidFill>
          </w14:textFill>
        </w:rPr>
        <w:t>）。</w:t>
      </w:r>
    </w:p>
    <w:p w14:paraId="3F260589">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3.办理时间：2026年</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3月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月2日（工作日每日9点-17点），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月2日17点以后提交材料或者提供材料不符合相关要求的不做减免处理。</w:t>
      </w:r>
    </w:p>
    <w:p w14:paraId="53CC6697">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4.所需材料：</w:t>
      </w:r>
    </w:p>
    <w:p w14:paraId="5025DFFC">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6DE7F64">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（2）脱贫户家庭考生，凭乡（镇）政府、街道办事处和学校学生处出具的原农村建档立卡贫困户证明、特殊困难证明；</w:t>
      </w:r>
    </w:p>
    <w:p w14:paraId="4E12FA08">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（3）父母双亡、父母一方为烈士或一级伤残军人，且生活十分困难家庭考生，凭有关部门出具的父母双亡证明或民政部门（退役军人事务部门）出具的父亲或母亲烈士证明、父亲或母亲一级伤残军人证明。</w:t>
      </w:r>
    </w:p>
    <w:p w14:paraId="6622709B">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5.办理程序：</w:t>
      </w:r>
    </w:p>
    <w:p w14:paraId="5C12C5E9">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Times New Roman" w:hAnsi="Times New Roman" w:eastAsia="仿宋_GB2312"/>
          <w:color w:val="000000" w:themeColor="text1"/>
          <w:sz w:val="28"/>
          <w:szCs w:val="28"/>
          <w14:textFill>
            <w14:solidFill>
              <w14:schemeClr w14:val="tx1"/>
            </w14:solidFill>
          </w14:textFill>
        </w:rPr>
        <w:t>首先在网上完成报名并缴纳报名费用，申请减免通过后予以退费。</w:t>
      </w:r>
    </w:p>
    <w:p w14:paraId="69787223">
      <w:pPr>
        <w:spacing w:line="500" w:lineRule="exact"/>
        <w:ind w:firstLine="560" w:firstLineChars="200"/>
        <w:rPr>
          <w:rFonts w:ascii="方正楷体简体" w:hAnsi="方正楷体简体" w:eastAsia="方正楷体简体" w:cs="方正楷体简体"/>
          <w:color w:val="000000" w:themeColor="text1"/>
          <w:sz w:val="28"/>
          <w:szCs w:val="28"/>
          <w:shd w:val="pct10" w:color="auto" w:fill="FFFFFF"/>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w:t>
      </w:r>
      <w:r>
        <w:rPr>
          <w:rFonts w:hint="eastAsia" w:ascii="仿宋_GB2312" w:hAnsi="仿宋_GB2312" w:cs="仿宋_GB2312"/>
          <w:color w:val="000000" w:themeColor="text1"/>
          <w:sz w:val="28"/>
          <w:szCs w:val="28"/>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14:textFill>
            <w14:solidFill>
              <w14:schemeClr w14:val="tx1"/>
            </w14:solidFill>
          </w14:textFill>
        </w:rPr>
        <w:t>指定邮箱（</w:t>
      </w:r>
      <w:r>
        <w:rPr>
          <w:rFonts w:ascii="仿宋_GB2312" w:hAnsi="仿宋_GB2312" w:eastAsia="仿宋_GB2312" w:cs="仿宋_GB2312"/>
          <w:color w:val="000000" w:themeColor="text1"/>
          <w:sz w:val="28"/>
          <w:szCs w:val="28"/>
          <w14:textFill>
            <w14:solidFill>
              <w14:schemeClr w14:val="tx1"/>
            </w14:solidFill>
          </w14:textFill>
        </w:rPr>
        <w:t>3812851610@qq.com</w:t>
      </w:r>
      <w:r>
        <w:rPr>
          <w:rFonts w:hint="eastAsia" w:ascii="仿宋_GB2312" w:hAnsi="仿宋_GB2312" w:eastAsia="仿宋_GB2312" w:cs="仿宋_GB2312"/>
          <w:color w:val="000000" w:themeColor="text1"/>
          <w:sz w:val="28"/>
          <w:szCs w:val="28"/>
          <w14:textFill>
            <w14:solidFill>
              <w14:schemeClr w14:val="tx1"/>
            </w14:solidFill>
          </w14:textFill>
        </w:rPr>
        <w:t>）。</w:t>
      </w:r>
    </w:p>
    <w:p w14:paraId="79B9930A">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九、时间节点</w:t>
      </w:r>
    </w:p>
    <w:p w14:paraId="0EF2CBFA">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本</w:t>
      </w:r>
      <w:r>
        <w:rPr>
          <w:rFonts w:hint="eastAsia" w:ascii="仿宋_GB2312" w:hAnsi="仿宋_GB2312" w:eastAsia="仿宋_GB2312" w:cs="仿宋_GB2312"/>
          <w:color w:val="000000" w:themeColor="text1"/>
          <w:sz w:val="28"/>
          <w:szCs w:val="28"/>
          <w14:textFill>
            <w14:solidFill>
              <w14:schemeClr w14:val="tx1"/>
            </w14:solidFill>
          </w14:textFill>
        </w:rPr>
        <w:t>次招聘</w:t>
      </w:r>
      <w:r>
        <w:rPr>
          <w:rFonts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14:textFill>
            <w14:solidFill>
              <w14:schemeClr w14:val="tx1"/>
            </w14:solidFill>
          </w14:textFill>
        </w:rPr>
        <w:t>中</w:t>
      </w:r>
      <w:r>
        <w:rPr>
          <w:rFonts w:ascii="仿宋_GB2312" w:hAnsi="仿宋_GB2312" w:eastAsia="仿宋_GB2312" w:cs="仿宋_GB2312"/>
          <w:color w:val="000000" w:themeColor="text1"/>
          <w:sz w:val="28"/>
          <w:szCs w:val="28"/>
          <w14:textFill>
            <w14:solidFill>
              <w14:schemeClr w14:val="tx1"/>
            </w14:solidFill>
          </w14:textFill>
        </w:rPr>
        <w:t>所指“以上”“以下”“以前”“以后”均包含本级（数），如</w:t>
      </w: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年以上工作经历，指工作经历满</w:t>
      </w: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14:textFill>
            <w14:solidFill>
              <w14:schemeClr w14:val="tx1"/>
            </w14:solidFill>
          </w14:textFill>
        </w:rPr>
        <w:t>；招聘</w:t>
      </w:r>
      <w:r>
        <w:rPr>
          <w:rFonts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14:textFill>
            <w14:solidFill>
              <w14:schemeClr w14:val="tx1"/>
            </w14:solidFill>
          </w14:textFill>
        </w:rPr>
        <w:t>中</w:t>
      </w:r>
      <w:r>
        <w:rPr>
          <w:rFonts w:ascii="仿宋_GB2312" w:hAnsi="仿宋_GB2312" w:eastAsia="仿宋_GB2312" w:cs="仿宋_GB2312"/>
          <w:color w:val="000000" w:themeColor="text1"/>
          <w:sz w:val="28"/>
          <w:szCs w:val="28"/>
          <w14:textFill>
            <w14:solidFill>
              <w14:schemeClr w14:val="tx1"/>
            </w14:solidFill>
          </w14:textFill>
        </w:rPr>
        <w:t>涉及的时间节点，除明确规定外，均以公告</w:t>
      </w:r>
      <w:r>
        <w:rPr>
          <w:rFonts w:hint="eastAsia" w:ascii="仿宋_GB2312" w:hAnsi="仿宋_GB2312" w:eastAsia="仿宋_GB2312" w:cs="仿宋_GB2312"/>
          <w:color w:val="000000" w:themeColor="text1"/>
          <w:sz w:val="28"/>
          <w:szCs w:val="28"/>
          <w14:textFill>
            <w14:solidFill>
              <w14:schemeClr w14:val="tx1"/>
            </w14:solidFill>
          </w14:textFill>
        </w:rPr>
        <w:t>报名最后一</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为截止日</w:t>
      </w:r>
      <w:r>
        <w:rPr>
          <w:rFonts w:ascii="仿宋_GB2312" w:hAnsi="仿宋_GB2312" w:eastAsia="仿宋_GB2312" w:cs="仿宋_GB2312"/>
          <w:color w:val="000000" w:themeColor="text1"/>
          <w:sz w:val="28"/>
          <w:szCs w:val="28"/>
          <w14:textFill>
            <w14:solidFill>
              <w14:schemeClr w14:val="tx1"/>
            </w14:solidFill>
          </w14:textFill>
        </w:rPr>
        <w:t>。</w:t>
      </w:r>
    </w:p>
    <w:p w14:paraId="193D19AE">
      <w:pPr>
        <w:spacing w:line="500" w:lineRule="exact"/>
        <w:rPr>
          <w:rFonts w:hint="eastAsia"/>
          <w:color w:val="000000" w:themeColor="text1"/>
          <w:lang w:val="en-US" w:eastAsia="zh-CN"/>
          <w14:textFill>
            <w14:solidFill>
              <w14:schemeClr w14:val="tx1"/>
            </w14:solidFill>
          </w14:textFill>
        </w:rPr>
      </w:pPr>
    </w:p>
    <w:p w14:paraId="3499751A"/>
    <w:sectPr>
      <w:pgSz w:w="11906" w:h="16838"/>
      <w:pgMar w:top="964" w:right="1474" w:bottom="964" w:left="1587" w:header="851" w:footer="1559"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17D02"/>
    <w:rsid w:val="20A0788B"/>
    <w:rsid w:val="4AC332F0"/>
    <w:rsid w:val="4D9028D7"/>
    <w:rsid w:val="5E1A2A9F"/>
    <w:rsid w:val="6BC56CCB"/>
    <w:rsid w:val="71EE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4676</Words>
  <Characters>4814</Characters>
  <Lines>0</Lines>
  <Paragraphs>0</Paragraphs>
  <TotalTime>2</TotalTime>
  <ScaleCrop>false</ScaleCrop>
  <LinksUpToDate>false</LinksUpToDate>
  <CharactersWithSpaces>4815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2026-03-09T05:40:00Z</dcterms:created>
  <dc:creator>Administrator</dc:creator>
  <cp:lastModifiedBy>双鱼座</cp:lastModifiedBy>
  <dcterms:modified xsi:type="dcterms:W3CDTF">2026-03-10T04:30:33Z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eyJoZGlkIjoiYWMyOTJmYjRmOGFjODUwMjExNGFhMzk1NzdlNDlkM2MiLCJ1c2VySWQiOiIxNDgwNTIwODMwIn0=</vt:lpwstr>
  </property>
  <property fmtid="{D5CDD505-2E9C-101B-9397-08002B2CF9AE}" pid="4" name="ICV">
    <vt:lpwstr>6F1FDBDC7A52460EBC7F321D06B8C15A_12</vt:lpwstr>
  </property>
</Properties>
</file>