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spacing w:before="101" w:line="570" w:lineRule="exact"/>
        <w:jc w:val="center"/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eastAsia="zh-CN"/>
        </w:rPr>
      </w:pPr>
    </w:p>
    <w:p>
      <w:pPr>
        <w:pStyle w:val="15"/>
        <w:spacing w:before="101" w:line="570" w:lineRule="exact"/>
        <w:jc w:val="center"/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eastAsia="zh-CN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val="en-US" w:eastAsia="zh-CN"/>
        </w:rPr>
        <w:t>河北昌黎第一中学</w:t>
      </w:r>
      <w:r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eastAsia="zh-CN"/>
        </w:rP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-402590</wp:posOffset>
                </wp:positionV>
                <wp:extent cx="933450" cy="381000"/>
                <wp:effectExtent l="-9524" t="-9524" r="-9524" b="-9524"/>
                <wp:wrapNone/>
                <wp:docPr id="1" name="_x0000_s102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50" cy="38100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Fonts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_GB2312" w:eastAsia="仿宋_GB2312" w:cs="仿宋_GB2312" w:hAnsi="仿宋_GB2312" w:hint="eastAsia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_x0000_s1026 3" o:spid="_x0000_s3" fillcolor="#FFFFFF" stroked="t" style="position:absolute;margin-left:0.95pt;margin-top:-31.7pt;width:73.5pt;height:30.0pt;z-index:12;mso-position-horizontal:absolute;mso-position-vertical:absolute;mso-wrap-distance-left:8.999863pt;mso-wrap-distance-right:8.999863pt;mso-wrap-style:square;">
                <v:stroke color="#FFFFFF"/>
                <v:textbox id="848" inset="2.54mm,1.27mm,2.54mm,1.27mm" o:insetmode="custom" style="layout-flow:horizontal;v-text-anchor:top;">
                  <w:txbxContent>
                    <w:p>
                      <w:pPr>
                        <w:rPr>
                          <w:rFonts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仿宋_GB2312" w:eastAsia="仿宋_GB2312" w:cs="仿宋_GB2312" w:hAnsi="仿宋_GB2312" w:hint="eastAsia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eastAsia="zh-CN"/>
        </w:rPr>
        <w:t>专项选</w:t>
      </w:r>
      <w:bookmarkStart w:id="0" w:name="_GoBack"/>
      <w:bookmarkEnd w:id="0"/>
      <w:r>
        <w:rPr>
          <w:rFonts w:ascii="方正小标宋简体" w:eastAsia="方正小标宋简体" w:cs="方正小标宋简体" w:hAnsi="方正小标宋简体" w:hint="eastAsia"/>
          <w:color w:val="auto"/>
          <w:sz w:val="40"/>
          <w:szCs w:val="40"/>
          <w:lang w:eastAsia="zh-CN"/>
        </w:rPr>
        <w:t>聘教师院校名单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Chars="200" w:firstLine="668"/>
        <w:textAlignment w:val="baseline"/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68"/>
        <w:textAlignment w:val="baseline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  <w:t>一、教育部直属师范大学名单（6所</w:t>
      </w:r>
      <w:r>
        <w:rPr>
          <w:rFonts w:ascii="黑体" w:eastAsia="黑体" w:cs="黑体" w:hAnsi="黑体" w:hint="eastAsia"/>
          <w:spacing w:val="6"/>
          <w:sz w:val="32"/>
          <w:szCs w:val="32"/>
          <w:lang w:eastAsia="zh-CN"/>
        </w:rPr>
        <w:t>）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28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北京师范大学、华东师范大学、华中师范大学、东北师范大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学、陕西师范大学、西南大学。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68"/>
        <w:textAlignment w:val="baseline"/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  <w:t>二、“双一流”大学名单（4</w:t>
      </w:r>
      <w:r>
        <w:rPr>
          <w:rFonts w:ascii="黑体" w:eastAsia="黑体" w:cs="黑体" w:hAnsi="黑体" w:hint="eastAsia"/>
          <w:spacing w:val="7"/>
          <w:sz w:val="32"/>
          <w:szCs w:val="32"/>
          <w:lang w:val="en-US" w:eastAsia="zh-CN"/>
        </w:rPr>
        <w:t>2</w:t>
      </w:r>
      <w:r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  <w:t>所）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196" w:firstLine="584"/>
        <w:textAlignment w:val="baseline"/>
        <w:rPr>
          <w:rFonts w:hint="eastAsia"/>
          <w:sz w:val="32"/>
          <w:szCs w:val="32"/>
          <w:lang w:eastAsia="zh-CN"/>
        </w:rPr>
      </w:pPr>
      <w:r>
        <w:rPr>
          <w:spacing w:val="-11"/>
          <w:position w:val="1"/>
          <w:sz w:val="32"/>
          <w:szCs w:val="32"/>
          <w:lang w:eastAsia="zh-CN"/>
        </w:rPr>
        <w:t>1.A类36</w:t>
      </w:r>
      <w:r>
        <w:rPr>
          <w:spacing w:val="-3"/>
          <w:sz w:val="32"/>
          <w:szCs w:val="32"/>
          <w:lang w:eastAsia="zh-CN"/>
        </w:rPr>
        <w:t>所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Chars="200" w:firstLine="628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/>
          <w:spacing w:val="-3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56"/>
        <w:textAlignment w:val="baseline"/>
        <w:rPr>
          <w:rFonts w:hint="eastAsia"/>
          <w:spacing w:val="4"/>
          <w:sz w:val="32"/>
          <w:szCs w:val="32"/>
          <w:lang w:eastAsia="zh-CN"/>
        </w:rPr>
      </w:pPr>
      <w:r>
        <w:rPr>
          <w:spacing w:val="4"/>
          <w:sz w:val="32"/>
          <w:szCs w:val="32"/>
          <w:lang w:eastAsia="zh-CN"/>
        </w:rPr>
        <w:t>2.B类6所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56"/>
        <w:textAlignment w:val="baseline"/>
        <w:rPr>
          <w:rFonts w:hint="eastAsia"/>
          <w:spacing w:val="4"/>
          <w:sz w:val="32"/>
          <w:szCs w:val="32"/>
          <w:lang w:eastAsia="zh-CN"/>
        </w:rPr>
      </w:pPr>
      <w:r>
        <w:rPr>
          <w:rFonts w:hint="eastAsia"/>
          <w:spacing w:val="4"/>
          <w:sz w:val="32"/>
          <w:szCs w:val="32"/>
          <w:lang w:eastAsia="zh-CN"/>
        </w:rPr>
        <w:t>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Chars="200" w:firstLine="668"/>
        <w:textAlignment w:val="baseline"/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  <w:t>三、各省师范大学名单（</w:t>
      </w:r>
      <w:r>
        <w:rPr>
          <w:rFonts w:ascii="黑体" w:eastAsia="黑体" w:cs="黑体" w:hAnsi="黑体" w:hint="eastAsia"/>
          <w:spacing w:val="7"/>
          <w:sz w:val="32"/>
          <w:szCs w:val="32"/>
          <w:lang w:val="en-US" w:eastAsia="zh-CN"/>
        </w:rPr>
        <w:t>42</w:t>
      </w:r>
      <w:r>
        <w:rPr>
          <w:rFonts w:ascii="黑体" w:eastAsia="黑体" w:cs="黑体" w:hAnsi="黑体" w:hint="eastAsia"/>
          <w:spacing w:val="7"/>
          <w:sz w:val="32"/>
          <w:szCs w:val="32"/>
          <w:lang w:eastAsia="zh-CN"/>
        </w:rPr>
        <w:t>所）</w:t>
      </w:r>
    </w:p>
    <w:p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Chars="200" w:firstLine="660"/>
        <w:textAlignment w:val="baseline"/>
        <w:rPr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南京师范大学、湖南师范大学、华南师范大学、福建师范大学、首都师范大学、浙江师范大学、河南师范大学、江西师范大学、</w:t>
      </w:r>
      <w:r>
        <w:rPr>
          <w:spacing w:val="5"/>
          <w:sz w:val="32"/>
          <w:szCs w:val="32"/>
          <w:lang w:eastAsia="zh-CN"/>
        </w:rPr>
        <w:t>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  <w:r>
        <w:rPr>
          <w:rFonts w:hint="eastAsia"/>
          <w:spacing w:val="5"/>
          <w:sz w:val="32"/>
          <w:szCs w:val="32"/>
          <w:lang w:eastAsia="zh-CN"/>
        </w:rPr>
        <w:t>。</w:t>
      </w:r>
    </w:p>
    <w:sectPr>
      <w:footerReference w:type="default" r:id="rId2"/>
      <w:pgSz w:w="11906" w:h="16839"/>
      <w:pgMar w:top="1429" w:right="1417" w:bottom="1412" w:left="1412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80" w:lineRule="auto"/>
      <w:rPr>
        <w:rFonts w:ascii="Times New Roman" w:eastAsia="Times New Roman" w:cs="Times New Roman" w:hAnsi="Times New Roman"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2"/>
  </w:compat>
  <w:docVars>
    <w:docVar w:name="commondata" w:val="eyJoZGlkIjoiZGMyOWUxNWJlZTg2NjJkM2FlMGY3ZmU5Y2QzN2QzN2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仿宋" w:eastAsia="仿宋" w:cs="仿宋" w:hAnsi="仿宋"/>
      <w:sz w:val="31"/>
      <w:szCs w:val="31"/>
    </w:rPr>
  </w:style>
  <w:style w:type="paragraph" w:styleId="16">
    <w:name w:val="header"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B47C2C8-D769-4FE9-A8D7-215BA858B21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0</Words>
  <Characters>513</Characters>
  <Lines>0</Lines>
  <Paragraphs>13</Paragraphs>
  <CharactersWithSpaces>684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Administrator</cp:lastModifiedBy>
  <cp:revision>6</cp:revision>
  <cp:lastPrinted>2025-10-15T02:32:38Z</cp:lastPrinted>
  <dcterms:created xsi:type="dcterms:W3CDTF">2024-03-07T03:47:00Z</dcterms:created>
  <dcterms:modified xsi:type="dcterms:W3CDTF">2025-10-15T02:33:06Z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2024-03-06T16:00:00Z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C62014FC2EA04E76A8B75C0D99F2B091_12</vt:lpwstr>
  </property>
  <property fmtid="{D5CDD505-2E9C-101B-9397-08002B2CF9AE}" pid="6" name="KSOTemplateDocerSaveRecord">
    <vt:lpwstr>eyJoZGlkIjoiZGMyOWUxNWJlZTg2NjJkM2FlMGY3ZmU5Y2QzN2QzN2EiLCJ1c2VySWQiOiIxNTkxNjI3MzMwIn0=</vt:lpwstr>
  </property>
</Properties>
</file>