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B84B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黑体" w:cs="Times New Roman"/>
          <w:b w:val="0"/>
          <w:bCs w:val="0"/>
          <w:color w:val="auto"/>
          <w:sz w:val="28"/>
          <w:szCs w:val="28"/>
          <w:lang w:val="en-US" w:eastAsia="zh-CN"/>
        </w:rPr>
      </w:pPr>
      <w:r>
        <w:rPr>
          <w:rFonts w:hint="default" w:ascii="Times New Roman" w:hAnsi="Times New Roman" w:eastAsia="黑体" w:cs="Times New Roman"/>
          <w:b w:val="0"/>
          <w:bCs w:val="0"/>
          <w:color w:val="auto"/>
          <w:sz w:val="28"/>
          <w:szCs w:val="28"/>
          <w:lang w:eastAsia="zh-CN"/>
        </w:rPr>
        <w:t>附件</w:t>
      </w:r>
      <w:r>
        <w:rPr>
          <w:rFonts w:hint="eastAsia" w:ascii="Times New Roman" w:hAnsi="Times New Roman" w:eastAsia="黑体" w:cs="Times New Roman"/>
          <w:b w:val="0"/>
          <w:bCs w:val="0"/>
          <w:color w:val="auto"/>
          <w:sz w:val="28"/>
          <w:szCs w:val="28"/>
          <w:lang w:val="en-US" w:eastAsia="zh-CN"/>
        </w:rPr>
        <w:t>2-3-</w:t>
      </w:r>
      <w:r>
        <w:rPr>
          <w:rFonts w:hint="default" w:ascii="Times New Roman" w:hAnsi="Times New Roman" w:eastAsia="黑体" w:cs="Times New Roman"/>
          <w:b w:val="0"/>
          <w:bCs w:val="0"/>
          <w:color w:val="auto"/>
          <w:sz w:val="28"/>
          <w:szCs w:val="28"/>
          <w:lang w:val="en-US" w:eastAsia="zh-CN"/>
        </w:rPr>
        <w:t>4</w:t>
      </w:r>
    </w:p>
    <w:p w14:paraId="199297F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bCs w:val="0"/>
          <w:color w:val="auto"/>
          <w:spacing w:val="0"/>
          <w:sz w:val="44"/>
          <w:szCs w:val="44"/>
          <w:highlight w:val="none"/>
          <w:u w:val="none"/>
          <w:lang w:val="en-US" w:eastAsia="zh-CN"/>
        </w:rPr>
      </w:pPr>
    </w:p>
    <w:p w14:paraId="095F4AE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 w:val="0"/>
          <w:bCs w:val="0"/>
          <w:color w:val="auto"/>
          <w:spacing w:val="0"/>
          <w:sz w:val="44"/>
          <w:szCs w:val="44"/>
          <w:highlight w:val="none"/>
          <w:u w:val="none"/>
          <w:lang w:val="en-US" w:eastAsia="zh-CN"/>
        </w:rPr>
      </w:pPr>
      <w:r>
        <w:rPr>
          <w:rFonts w:hint="default" w:ascii="Times New Roman" w:hAnsi="Times New Roman" w:eastAsia="方正小标宋简体" w:cs="Times New Roman"/>
          <w:b w:val="0"/>
          <w:bCs w:val="0"/>
          <w:color w:val="auto"/>
          <w:spacing w:val="0"/>
          <w:sz w:val="44"/>
          <w:szCs w:val="44"/>
          <w:highlight w:val="none"/>
          <w:u w:val="none"/>
          <w:lang w:val="en-US" w:eastAsia="zh-CN"/>
        </w:rPr>
        <w:t>通辽市科尔沁区2026年度教体系统</w:t>
      </w:r>
    </w:p>
    <w:p w14:paraId="4A2B81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val="0"/>
          <w:bCs w:val="0"/>
          <w:color w:val="auto"/>
          <w:spacing w:val="0"/>
          <w:sz w:val="32"/>
          <w:szCs w:val="32"/>
        </w:rPr>
      </w:pPr>
      <w:r>
        <w:rPr>
          <w:rFonts w:hint="default" w:ascii="Times New Roman" w:hAnsi="Times New Roman" w:eastAsia="方正小标宋简体" w:cs="Times New Roman"/>
          <w:b w:val="0"/>
          <w:bCs w:val="0"/>
          <w:color w:val="auto"/>
          <w:spacing w:val="0"/>
          <w:sz w:val="44"/>
          <w:szCs w:val="44"/>
          <w:highlight w:val="none"/>
          <w:u w:val="none"/>
          <w:lang w:val="en-US" w:eastAsia="zh-CN"/>
        </w:rPr>
        <w:t>人才引进人</w:t>
      </w:r>
      <w:bookmarkStart w:id="0" w:name="_GoBack"/>
      <w:bookmarkEnd w:id="0"/>
      <w:r>
        <w:rPr>
          <w:rFonts w:hint="default" w:ascii="Times New Roman" w:hAnsi="Times New Roman" w:eastAsia="方正小标宋简体" w:cs="Times New Roman"/>
          <w:b w:val="0"/>
          <w:bCs w:val="0"/>
          <w:color w:val="auto"/>
          <w:spacing w:val="0"/>
          <w:sz w:val="44"/>
          <w:szCs w:val="44"/>
          <w:highlight w:val="none"/>
          <w:u w:val="none"/>
          <w:lang w:val="en-US" w:eastAsia="zh-CN"/>
        </w:rPr>
        <w:t>才评价表填报说明</w:t>
      </w:r>
    </w:p>
    <w:p w14:paraId="13B8C7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rPr>
      </w:pPr>
    </w:p>
    <w:p w14:paraId="46D777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一、专业层次方面</w:t>
      </w:r>
    </w:p>
    <w:p w14:paraId="1349C5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一）A类、B类高校和一流学科目录，以《教育部、财政部、国家发展改革委关于公布世界一流大学和一流学科建设高校及建设学科名单的通知》（教研函〔2017〕2号）《教育部、财政部、国家发展改革委关于公布第二轮“双一流”建设高校及建设学科名单的通知》（教研函〔2022〕1号）为准。</w:t>
      </w:r>
    </w:p>
    <w:p w14:paraId="666886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（二）在一流学科认定上，所学专业须属该学科内专业。</w:t>
      </w:r>
    </w:p>
    <w:p w14:paraId="5F04E7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rPr>
        <w:t>（三）</w:t>
      </w:r>
      <w:r>
        <w:rPr>
          <w:rFonts w:hint="default" w:ascii="Times New Roman" w:hAnsi="Times New Roman" w:eastAsia="仿宋" w:cs="Times New Roman"/>
          <w:b w:val="0"/>
          <w:bCs w:val="0"/>
          <w:color w:val="auto"/>
          <w:sz w:val="32"/>
          <w:szCs w:val="32"/>
          <w:highlight w:val="none"/>
        </w:rPr>
        <w:t>海外学历学校排名</w:t>
      </w:r>
      <w:r>
        <w:rPr>
          <w:rFonts w:hint="default" w:ascii="Times New Roman" w:hAnsi="Times New Roman" w:eastAsia="仿宋" w:cs="Times New Roman"/>
          <w:b w:val="0"/>
          <w:bCs w:val="0"/>
          <w:color w:val="auto"/>
          <w:sz w:val="32"/>
          <w:szCs w:val="32"/>
          <w:highlight w:val="none"/>
          <w:lang w:eastAsia="zh-CN"/>
        </w:rPr>
        <w:t>须符合</w:t>
      </w:r>
      <w:r>
        <w:rPr>
          <w:rFonts w:hint="default" w:ascii="Times New Roman" w:hAnsi="Times New Roman" w:eastAsia="仿宋" w:cs="Times New Roman"/>
          <w:b w:val="0"/>
          <w:bCs w:val="0"/>
          <w:color w:val="auto"/>
          <w:sz w:val="32"/>
          <w:szCs w:val="32"/>
          <w:highlight w:val="none"/>
          <w:lang w:val="en-US" w:eastAsia="zh-CN"/>
        </w:rPr>
        <w:t>2024年、2025</w:t>
      </w:r>
      <w:r>
        <w:rPr>
          <w:rFonts w:hint="default" w:ascii="Times New Roman" w:hAnsi="Times New Roman" w:eastAsia="仿宋" w:cs="Times New Roman"/>
          <w:b w:val="0"/>
          <w:bCs w:val="0"/>
          <w:color w:val="auto"/>
          <w:sz w:val="32"/>
          <w:szCs w:val="32"/>
          <w:highlight w:val="none"/>
        </w:rPr>
        <w:t>年度</w:t>
      </w:r>
      <w:r>
        <w:rPr>
          <w:rFonts w:hint="default" w:ascii="Times New Roman" w:hAnsi="Times New Roman" w:eastAsia="仿宋" w:cs="Times New Roman"/>
          <w:b w:val="0"/>
          <w:bCs w:val="0"/>
          <w:color w:val="auto"/>
          <w:sz w:val="32"/>
          <w:szCs w:val="32"/>
          <w:highlight w:val="none"/>
          <w:lang w:eastAsia="zh-CN"/>
        </w:rPr>
        <w:t>英国</w:t>
      </w:r>
      <w:r>
        <w:rPr>
          <w:rFonts w:hint="default" w:ascii="Times New Roman" w:hAnsi="Times New Roman" w:eastAsia="仿宋" w:cs="Times New Roman"/>
          <w:b w:val="0"/>
          <w:bCs w:val="0"/>
          <w:color w:val="auto"/>
          <w:sz w:val="32"/>
          <w:szCs w:val="32"/>
          <w:highlight w:val="none"/>
          <w:lang w:val="en-US" w:eastAsia="zh-CN"/>
        </w:rPr>
        <w:t>QS世界大学排名、泰晤士高等教育世界大学排名、《美国新闻与世界报道》世界大学排名、软科世界大学学术排名</w:t>
      </w:r>
      <w:r>
        <w:rPr>
          <w:rFonts w:hint="default" w:ascii="Times New Roman" w:hAnsi="Times New Roman" w:eastAsia="仿宋" w:cs="Times New Roman"/>
          <w:b w:val="0"/>
          <w:bCs w:val="0"/>
          <w:color w:val="auto"/>
          <w:sz w:val="32"/>
          <w:szCs w:val="32"/>
          <w:highlight w:val="none"/>
          <w:lang w:eastAsia="zh-CN"/>
        </w:rPr>
        <w:t>其中之一</w:t>
      </w:r>
      <w:r>
        <w:rPr>
          <w:rFonts w:hint="default" w:ascii="Times New Roman" w:hAnsi="Times New Roman" w:eastAsia="仿宋" w:cs="Times New Roman"/>
          <w:b w:val="0"/>
          <w:bCs w:val="0"/>
          <w:color w:val="auto"/>
          <w:sz w:val="32"/>
          <w:szCs w:val="32"/>
          <w:highlight w:val="none"/>
        </w:rPr>
        <w:t>。</w:t>
      </w:r>
    </w:p>
    <w:p w14:paraId="0C3627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（四）硕士研究生需完整填报本科阶段和硕士研究生阶段赋分。</w:t>
      </w:r>
    </w:p>
    <w:p w14:paraId="120575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二、学业成绩方面</w:t>
      </w:r>
    </w:p>
    <w:p w14:paraId="4CFFCB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以学校出具的加盖印章的成绩单为准，按照表内对应分值赋分。不能提供有效成绩单的，不得分。学校成绩单未体现GPA的，或与国内GPA计算方法不一致的，按下列计算方法计算GPA。</w:t>
      </w:r>
    </w:p>
    <w:p w14:paraId="3D9701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GPA计算方法：GPA＝所学课程学分绩点之和÷所学课程学分之和</w:t>
      </w:r>
      <w:r>
        <w:rPr>
          <w:rFonts w:hint="default" w:ascii="Times New Roman" w:hAnsi="Times New Roman" w:eastAsia="仿宋"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rPr>
        <w:t>课程学分绩点=课程绩点×学分数</w:t>
      </w:r>
      <w:r>
        <w:rPr>
          <w:rFonts w:hint="default" w:ascii="Times New Roman" w:hAnsi="Times New Roman" w:eastAsia="仿宋"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rPr>
        <w:t>课程绩点=4-3（100-X）^2/1600（60≤X≤100， X 为百分制课程分数）。</w:t>
      </w:r>
    </w:p>
    <w:p w14:paraId="6A4FC0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eastAsia="zh-CN"/>
        </w:rPr>
        <w:t>三、科研</w:t>
      </w:r>
      <w:r>
        <w:rPr>
          <w:rFonts w:hint="default" w:ascii="Times New Roman" w:hAnsi="Times New Roman" w:eastAsia="黑体" w:cs="Times New Roman"/>
          <w:b w:val="0"/>
          <w:bCs w:val="0"/>
          <w:color w:val="auto"/>
          <w:sz w:val="32"/>
          <w:szCs w:val="32"/>
        </w:rPr>
        <w:t>成果方面</w:t>
      </w:r>
    </w:p>
    <w:p w14:paraId="1EA6A04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 w:cs="仿宋_GB2312"/>
          <w:b w:val="0"/>
          <w:bCs w:val="0"/>
          <w:color w:val="auto"/>
          <w:sz w:val="32"/>
          <w:szCs w:val="32"/>
          <w:highlight w:val="none"/>
          <w:lang w:eastAsia="zh-CN"/>
        </w:rPr>
      </w:pPr>
      <w:r>
        <w:rPr>
          <w:rFonts w:hint="eastAsia" w:ascii="仿宋_GB2312" w:hAnsi="仿宋_GB2312" w:eastAsia="仿宋" w:cs="仿宋_GB2312"/>
          <w:b w:val="0"/>
          <w:bCs w:val="0"/>
          <w:color w:val="auto"/>
          <w:sz w:val="32"/>
          <w:szCs w:val="32"/>
          <w:highlight w:val="none"/>
          <w:lang w:eastAsia="zh-CN"/>
        </w:rPr>
        <w:t>论文</w:t>
      </w:r>
      <w:r>
        <w:rPr>
          <w:rFonts w:hint="eastAsia" w:ascii="仿宋_GB2312" w:hAnsi="仿宋_GB2312" w:eastAsia="仿宋" w:cs="仿宋_GB2312"/>
          <w:b w:val="0"/>
          <w:bCs w:val="0"/>
          <w:color w:val="auto"/>
          <w:sz w:val="32"/>
          <w:szCs w:val="32"/>
          <w:highlight w:val="none"/>
        </w:rPr>
        <w:t>需提供检索页、扫描文本、</w:t>
      </w:r>
      <w:r>
        <w:rPr>
          <w:rFonts w:hint="eastAsia" w:ascii="仿宋_GB2312" w:hAnsi="仿宋_GB2312" w:eastAsia="仿宋" w:cs="仿宋_GB2312"/>
          <w:b w:val="0"/>
          <w:bCs w:val="0"/>
          <w:color w:val="auto"/>
          <w:sz w:val="32"/>
          <w:szCs w:val="32"/>
          <w:highlight w:val="none"/>
          <w:lang w:eastAsia="zh-CN"/>
        </w:rPr>
        <w:t>文献检索报告等材料；发明专利需提供</w:t>
      </w:r>
      <w:r>
        <w:rPr>
          <w:rFonts w:hint="eastAsia" w:ascii="仿宋_GB2312" w:hAnsi="仿宋_GB2312" w:eastAsia="仿宋" w:cs="仿宋_GB2312"/>
          <w:b w:val="0"/>
          <w:bCs w:val="0"/>
          <w:color w:val="auto"/>
          <w:sz w:val="32"/>
          <w:szCs w:val="32"/>
          <w:highlight w:val="none"/>
        </w:rPr>
        <w:t>作品文件、专利证书</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eastAsia="zh-CN"/>
        </w:rPr>
        <w:t>最新法律状态佐证材料</w:t>
      </w:r>
      <w:r>
        <w:rPr>
          <w:rFonts w:hint="eastAsia" w:ascii="Times New Roman" w:hAnsi="Times New Roman" w:eastAsia="仿宋" w:cs="Times New Roman"/>
          <w:sz w:val="32"/>
          <w:szCs w:val="32"/>
          <w:highlight w:val="none"/>
          <w:lang w:eastAsia="zh-CN"/>
        </w:rPr>
        <w:t>、授权公告说明书扉页</w:t>
      </w:r>
      <w:r>
        <w:rPr>
          <w:rFonts w:hint="eastAsia" w:ascii="仿宋_GB2312" w:hAnsi="仿宋_GB2312" w:eastAsia="仿宋" w:cs="仿宋_GB2312"/>
          <w:b w:val="0"/>
          <w:bCs w:val="0"/>
          <w:color w:val="auto"/>
          <w:sz w:val="32"/>
          <w:szCs w:val="32"/>
          <w:highlight w:val="none"/>
        </w:rPr>
        <w:t>等材料</w:t>
      </w:r>
      <w:r>
        <w:rPr>
          <w:rFonts w:hint="eastAsia" w:ascii="仿宋_GB2312" w:hAnsi="仿宋_GB2312" w:eastAsia="仿宋" w:cs="仿宋_GB2312"/>
          <w:b w:val="0"/>
          <w:bCs w:val="0"/>
          <w:color w:val="auto"/>
          <w:sz w:val="32"/>
          <w:szCs w:val="32"/>
          <w:highlight w:val="none"/>
          <w:lang w:eastAsia="zh-CN"/>
        </w:rPr>
        <w:t>。</w:t>
      </w:r>
    </w:p>
    <w:p w14:paraId="5F08C68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 w:cs="仿宋_GB2312"/>
          <w:b w:val="0"/>
          <w:bCs w:val="0"/>
          <w:color w:val="auto"/>
          <w:sz w:val="32"/>
          <w:szCs w:val="32"/>
          <w:highlight w:val="none"/>
        </w:rPr>
      </w:pPr>
      <w:r>
        <w:rPr>
          <w:rFonts w:hint="eastAsia" w:ascii="仿宋_GB2312" w:hAnsi="仿宋_GB2312" w:eastAsia="仿宋" w:cs="仿宋_GB2312"/>
          <w:b w:val="0"/>
          <w:bCs w:val="0"/>
          <w:color w:val="auto"/>
          <w:sz w:val="32"/>
          <w:szCs w:val="32"/>
          <w:highlight w:val="none"/>
        </w:rPr>
        <w:t>实用新型、外观设计专利不得分。</w:t>
      </w:r>
    </w:p>
    <w:p w14:paraId="6C2116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eastAsia="zh-CN"/>
        </w:rPr>
        <w:t>四</w:t>
      </w:r>
      <w:r>
        <w:rPr>
          <w:rFonts w:hint="default" w:ascii="Times New Roman" w:hAnsi="Times New Roman" w:eastAsia="黑体" w:cs="Times New Roman"/>
          <w:b w:val="0"/>
          <w:bCs w:val="0"/>
          <w:color w:val="auto"/>
          <w:sz w:val="32"/>
          <w:szCs w:val="32"/>
        </w:rPr>
        <w:t>、专业技术职称方面</w:t>
      </w:r>
    </w:p>
    <w:p w14:paraId="3C2134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auto"/>
          <w:sz w:val="32"/>
          <w:szCs w:val="32"/>
          <w:lang w:eastAsia="zh-CN"/>
        </w:rPr>
      </w:pPr>
      <w:r>
        <w:rPr>
          <w:rFonts w:hint="default" w:ascii="Times New Roman" w:hAnsi="Times New Roman" w:eastAsia="仿宋" w:cs="Times New Roman"/>
          <w:b w:val="0"/>
          <w:bCs w:val="0"/>
          <w:color w:val="auto"/>
          <w:sz w:val="32"/>
          <w:szCs w:val="32"/>
        </w:rPr>
        <w:t>（一）要求为社会化专业技术职称</w:t>
      </w:r>
      <w:r>
        <w:rPr>
          <w:rFonts w:hint="default" w:ascii="Times New Roman" w:hAnsi="Times New Roman" w:eastAsia="仿宋" w:cs="Times New Roman"/>
          <w:b w:val="0"/>
          <w:bCs w:val="0"/>
          <w:color w:val="auto"/>
          <w:sz w:val="32"/>
          <w:szCs w:val="32"/>
          <w:lang w:eastAsia="zh-CN"/>
        </w:rPr>
        <w:t>。</w:t>
      </w:r>
    </w:p>
    <w:p w14:paraId="61F197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（二）需提供职称证，并可在相应查询系统中查询。</w:t>
      </w:r>
    </w:p>
    <w:p w14:paraId="79822A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highlight w:val="none"/>
          <w:lang w:eastAsia="zh-CN"/>
        </w:rPr>
        <w:t>五</w:t>
      </w:r>
      <w:r>
        <w:rPr>
          <w:rFonts w:hint="default" w:ascii="Times New Roman" w:hAnsi="Times New Roman" w:eastAsia="黑体" w:cs="Times New Roman"/>
          <w:b w:val="0"/>
          <w:bCs w:val="0"/>
          <w:color w:val="auto"/>
          <w:sz w:val="32"/>
          <w:szCs w:val="32"/>
          <w:highlight w:val="none"/>
        </w:rPr>
        <w:t>、</w:t>
      </w:r>
      <w:r>
        <w:rPr>
          <w:rFonts w:hint="default" w:ascii="Times New Roman" w:hAnsi="Times New Roman" w:eastAsia="黑体" w:cs="Times New Roman"/>
          <w:b w:val="0"/>
          <w:bCs w:val="0"/>
          <w:color w:val="auto"/>
          <w:sz w:val="32"/>
          <w:szCs w:val="32"/>
        </w:rPr>
        <w:t>获得奖项方面</w:t>
      </w:r>
    </w:p>
    <w:p w14:paraId="5AC254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（一）荣誉等级认定上以颁发、授予单位的级别为准，以表彰文件、表彰证书、获奖证书、荣誉证书等用章单位作为认定依据。</w:t>
      </w:r>
    </w:p>
    <w:p w14:paraId="4B44C4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b w:val="0"/>
          <w:bCs w:val="0"/>
          <w:color w:val="auto"/>
          <w:sz w:val="32"/>
          <w:szCs w:val="32"/>
          <w:lang w:eastAsia="zh-CN"/>
        </w:rPr>
      </w:pPr>
      <w:r>
        <w:rPr>
          <w:rFonts w:hint="default" w:ascii="Times New Roman" w:hAnsi="Times New Roman" w:eastAsia="仿宋" w:cs="Times New Roman"/>
          <w:b w:val="0"/>
          <w:bCs w:val="0"/>
          <w:color w:val="auto"/>
          <w:sz w:val="32"/>
          <w:szCs w:val="32"/>
        </w:rPr>
        <w:t>国家级指党中央、国务院授予或颁发的荣誉</w:t>
      </w:r>
      <w:r>
        <w:rPr>
          <w:rFonts w:hint="eastAsia" w:ascii="Times New Roman" w:hAnsi="Times New Roman" w:eastAsia="仿宋" w:cs="Times New Roman"/>
          <w:b w:val="0"/>
          <w:bCs w:val="0"/>
          <w:color w:val="auto"/>
          <w:sz w:val="32"/>
          <w:szCs w:val="32"/>
          <w:lang w:eastAsia="zh-CN"/>
        </w:rPr>
        <w:t>。</w:t>
      </w:r>
    </w:p>
    <w:p w14:paraId="188205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b w:val="0"/>
          <w:bCs w:val="0"/>
          <w:color w:val="auto"/>
          <w:sz w:val="32"/>
          <w:szCs w:val="32"/>
          <w:highlight w:val="none"/>
          <w:lang w:eastAsia="zh-CN"/>
        </w:rPr>
      </w:pPr>
      <w:r>
        <w:rPr>
          <w:rFonts w:hint="default" w:ascii="Times New Roman" w:hAnsi="Times New Roman" w:eastAsia="仿宋" w:cs="Times New Roman"/>
          <w:b w:val="0"/>
          <w:bCs w:val="0"/>
          <w:color w:val="auto"/>
          <w:sz w:val="32"/>
          <w:szCs w:val="32"/>
        </w:rPr>
        <w:t>省级指中央和国家机关部委及省（自治区、直辖市</w:t>
      </w:r>
      <w:r>
        <w:rPr>
          <w:rFonts w:hint="default" w:ascii="Times New Roman" w:hAnsi="Times New Roman" w:eastAsia="仿宋" w:cs="Times New Roman"/>
          <w:b w:val="0"/>
          <w:bCs w:val="0"/>
          <w:color w:val="auto"/>
          <w:sz w:val="32"/>
          <w:szCs w:val="32"/>
          <w:highlight w:val="none"/>
        </w:rPr>
        <w:t>）党委、政府授予或颁发的荣誉</w:t>
      </w:r>
      <w:r>
        <w:rPr>
          <w:rFonts w:hint="eastAsia" w:ascii="Times New Roman" w:hAnsi="Times New Roman" w:eastAsia="仿宋" w:cs="Times New Roman"/>
          <w:b w:val="0"/>
          <w:bCs w:val="0"/>
          <w:color w:val="auto"/>
          <w:sz w:val="32"/>
          <w:szCs w:val="32"/>
          <w:highlight w:val="none"/>
          <w:lang w:eastAsia="zh-CN"/>
        </w:rPr>
        <w:t>。</w:t>
      </w:r>
    </w:p>
    <w:p w14:paraId="5D7803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rPr>
        <w:t>市级指市党委、政府授予或颁发的荣誉。</w:t>
      </w:r>
    </w:p>
    <w:p w14:paraId="6BCB09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rPr>
        <w:t xml:space="preserve">国家级荣誉中：国家自然科学奖、国家技术发明奖、国家科技进步奖特等奖、国家科技进步奖获得者应为前5位完成人；省级荣誉中：省级科学技术特别贡献奖、自然科学奖、技术发明奖、科学技术进步奖、青年科学技术创新奖应为前3位完成人。 </w:t>
      </w:r>
    </w:p>
    <w:p w14:paraId="44C9DC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（二）学校授予的荣誉</w:t>
      </w:r>
      <w:r>
        <w:rPr>
          <w:rFonts w:hint="default" w:ascii="Times New Roman" w:hAnsi="Times New Roman" w:eastAsia="仿宋" w:cs="Times New Roman"/>
          <w:b w:val="0"/>
          <w:bCs w:val="0"/>
          <w:color w:val="auto"/>
          <w:sz w:val="32"/>
          <w:szCs w:val="32"/>
          <w:lang w:eastAsia="zh-CN"/>
        </w:rPr>
        <w:t>、在校期间获得的各类奖学金</w:t>
      </w:r>
      <w:r>
        <w:rPr>
          <w:rFonts w:hint="default" w:ascii="Times New Roman" w:hAnsi="Times New Roman" w:eastAsia="仿宋" w:cs="Times New Roman"/>
          <w:b w:val="0"/>
          <w:bCs w:val="0"/>
          <w:color w:val="auto"/>
          <w:sz w:val="32"/>
          <w:szCs w:val="32"/>
        </w:rPr>
        <w:t>不计算得分。</w:t>
      </w:r>
    </w:p>
    <w:p w14:paraId="288496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color w:val="auto"/>
        </w:rPr>
      </w:pPr>
      <w:r>
        <w:rPr>
          <w:rFonts w:hint="default" w:ascii="Times New Roman" w:hAnsi="Times New Roman" w:eastAsia="仿宋" w:cs="Times New Roman"/>
          <w:b w:val="0"/>
          <w:bCs w:val="0"/>
          <w:color w:val="auto"/>
          <w:sz w:val="32"/>
          <w:szCs w:val="32"/>
        </w:rPr>
        <w:t>（三）各类协会、社会组织、组委会发放证书的不加分。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1997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D6AF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DD6AF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047C90"/>
    <w:rsid w:val="00117DE9"/>
    <w:rsid w:val="03CE00B3"/>
    <w:rsid w:val="0F3F0B80"/>
    <w:rsid w:val="14047C90"/>
    <w:rsid w:val="16D133CF"/>
    <w:rsid w:val="1CA043F2"/>
    <w:rsid w:val="248B3C5B"/>
    <w:rsid w:val="28F677B6"/>
    <w:rsid w:val="2E055845"/>
    <w:rsid w:val="33FE03AF"/>
    <w:rsid w:val="341C3BC4"/>
    <w:rsid w:val="39D34E32"/>
    <w:rsid w:val="50943549"/>
    <w:rsid w:val="71C37D45"/>
    <w:rsid w:val="7A37023E"/>
    <w:rsid w:val="7E321A99"/>
    <w:rsid w:val="7E5C0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893</Words>
  <Characters>939</Characters>
  <Lines>0</Lines>
  <Paragraphs>0</Paragraphs>
  <TotalTime>1</TotalTime>
  <ScaleCrop>false</ScaleCrop>
  <LinksUpToDate>false</LinksUpToDate>
  <CharactersWithSpaces>942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2025-03-18T18:43:00Z</dcterms:created>
  <dc:creator>如心</dc:creator>
  <cp:lastModifiedBy>念</cp:lastModifiedBy>
  <dcterms:modified xsi:type="dcterms:W3CDTF">2026-05-22T02:54:41Z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F8BF23C469DB48309E4EF9BF52769F61_13</vt:lpwstr>
  </property>
  <property fmtid="{D5CDD505-2E9C-101B-9397-08002B2CF9AE}" pid="4" name="KSOTemplateDocerSaveRecord">
    <vt:lpwstr>eyJoZGlkIjoiYmMzYzNkZjU0YjUwZDg0NGI4OTFmYzYxNTI5MmZiMmIiLCJ1c2VySWQiOiIyNjQ0MDYxMzIifQ==</vt:lpwstr>
  </property>
</Properties>
</file>