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7-2</w:t>
      </w:r>
    </w:p>
    <w:p w14:paraId="5A922841">
      <w:pPr>
        <w:jc w:val="center"/>
        <w:rPr>
          <w:rFonts w:hint="eastAsia" w:ascii="方正小标宋简体" w:hAnsi="黑体" w:eastAsia="方正小标宋简体"/>
          <w:b w:val="0"/>
          <w:spacing w:val="0"/>
          <w:sz w:val="36"/>
          <w:szCs w:val="36"/>
          <w:lang w:val="en-US" w:eastAsia="zh-CN"/>
        </w:rPr>
      </w:pPr>
      <w:r>
        <w:rPr>
          <w:rFonts w:hint="eastAsia" w:ascii="方正小标宋简体" w:hAnsi="黑体" w:eastAsia="方正小标宋简体" w:cs="Times New Roman"/>
          <w:b w:val="0"/>
          <w:spacing w:val="0"/>
          <w:sz w:val="32"/>
          <w:szCs w:val="32"/>
          <w:lang w:val="en-US" w:eastAsia="zh-CN"/>
        </w:rPr>
        <w:t>奈曼旗事业单位2026年第二批次人才引进人才评价表</w:t>
      </w:r>
      <w:r>
        <w:rPr>
          <w:rFonts w:hint="eastAsia" w:ascii="方正小标宋简体" w:hAnsi="黑体" w:eastAsia="方正小标宋简体"/>
          <w:b w:val="0"/>
          <w:spacing w:val="0"/>
          <w:sz w:val="32"/>
          <w:szCs w:val="32"/>
          <w:lang w:eastAsia="zh-CN"/>
        </w:rPr>
        <w:t>（综合岗位）</w:t>
      </w:r>
    </w:p>
    <w:p w14:paraId="411E0D76">
      <w:pPr>
        <w:jc w:val="both"/>
        <w:rPr>
          <w:rFonts w:ascii="方正小标宋简体" w:hAnsi="黑体" w:eastAsia="方正小标宋简体"/>
          <w:b w:val="0"/>
          <w:sz w:val="36"/>
          <w:szCs w:val="36"/>
        </w:rPr>
      </w:pPr>
      <w:r>
        <w:rPr>
          <w:rFonts w:hint="eastAsia" w:ascii="方正小标宋简体" w:hAnsi="黑体" w:eastAsia="方正小标宋简体"/>
          <w:b w:val="0"/>
          <w:sz w:val="24"/>
          <w:szCs w:val="24"/>
          <w:lang w:eastAsia="zh-CN"/>
        </w:rPr>
        <w:t>报考单位：</w:t>
      </w:r>
      <w:r>
        <w:rPr>
          <w:rFonts w:hint="eastAsia" w:ascii="方正小标宋简体" w:hAnsi="黑体" w:eastAsia="方正小标宋简体"/>
          <w:b w:val="0"/>
          <w:sz w:val="24"/>
          <w:szCs w:val="24"/>
          <w:u w:val="single"/>
          <w:lang w:val="en-US" w:eastAsia="zh-CN"/>
        </w:rPr>
        <w:t xml:space="preserve">               </w:t>
      </w:r>
      <w:r>
        <w:rPr>
          <w:rFonts w:hint="eastAsia" w:ascii="方正小标宋简体" w:hAnsi="黑体" w:eastAsia="方正小标宋简体"/>
          <w:b w:val="0"/>
          <w:sz w:val="24"/>
          <w:szCs w:val="24"/>
          <w:u w:val="none"/>
          <w:lang w:val="en-US" w:eastAsia="zh-CN"/>
        </w:rPr>
        <w:t xml:space="preserve"> 报考岗位：</w:t>
      </w:r>
      <w:r>
        <w:rPr>
          <w:rFonts w:hint="eastAsia" w:ascii="方正小标宋简体" w:hAnsi="黑体" w:eastAsia="方正小标宋简体"/>
          <w:b w:val="0"/>
          <w:sz w:val="24"/>
          <w:szCs w:val="24"/>
          <w:u w:val="single"/>
          <w:lang w:val="en-US" w:eastAsia="zh-CN"/>
        </w:rPr>
        <w:t xml:space="preserve">              </w:t>
      </w:r>
      <w:r>
        <w:rPr>
          <w:rFonts w:hint="eastAsia" w:ascii="方正小标宋简体" w:hAnsi="黑体" w:eastAsia="方正小标宋简体"/>
          <w:b w:val="0"/>
          <w:sz w:val="24"/>
          <w:szCs w:val="24"/>
          <w:u w:val="none"/>
          <w:lang w:val="en-US" w:eastAsia="zh-CN"/>
        </w:rPr>
        <w:t xml:space="preserve">   </w:t>
      </w:r>
      <w:r>
        <w:rPr>
          <w:rFonts w:hint="eastAsia" w:ascii="方正小标宋简体" w:hAnsi="黑体" w:eastAsia="方正小标宋简体"/>
          <w:b w:val="0"/>
          <w:sz w:val="24"/>
          <w:szCs w:val="24"/>
          <w:lang w:val="en-US" w:eastAsia="zh-CN"/>
        </w:rPr>
        <w:t>自评得分：</w:t>
      </w:r>
      <w:r>
        <w:rPr>
          <w:rFonts w:hint="eastAsia" w:ascii="方正小标宋简体" w:hAnsi="黑体" w:eastAsia="方正小标宋简体"/>
          <w:b w:val="0"/>
          <w:sz w:val="24"/>
          <w:szCs w:val="24"/>
          <w:u w:val="single"/>
          <w:lang w:val="en-US" w:eastAsia="zh-CN"/>
        </w:rPr>
        <w:t xml:space="preserve">          </w:t>
      </w:r>
      <w:r>
        <w:rPr>
          <w:rFonts w:hint="eastAsia" w:ascii="方正小标宋简体" w:hAnsi="黑体" w:eastAsia="方正小标宋简体"/>
          <w:b w:val="0"/>
          <w:sz w:val="24"/>
          <w:szCs w:val="24"/>
          <w:u w:val="none"/>
          <w:lang w:val="en-US" w:eastAsia="zh-CN"/>
        </w:rPr>
        <w:t xml:space="preserve">  </w:t>
      </w:r>
      <w:r>
        <w:rPr>
          <w:rFonts w:hint="eastAsia" w:ascii="方正小标宋简体" w:hAnsi="黑体" w:eastAsia="方正小标宋简体"/>
          <w:b w:val="0"/>
          <w:sz w:val="24"/>
          <w:szCs w:val="24"/>
          <w:lang w:val="en-US" w:eastAsia="zh-CN"/>
        </w:rPr>
        <w:t xml:space="preserve">复核得分： </w:t>
      </w:r>
      <w:r>
        <w:rPr>
          <w:rFonts w:hint="eastAsia" w:ascii="方正小标宋简体" w:hAnsi="黑体" w:eastAsia="方正小标宋简体"/>
          <w:b w:val="0"/>
          <w:sz w:val="24"/>
          <w:szCs w:val="24"/>
          <w:u w:val="single"/>
          <w:lang w:val="en-US" w:eastAsia="zh-CN"/>
        </w:rPr>
        <w:t xml:space="preserve">           </w:t>
      </w:r>
    </w:p>
    <w:tbl>
      <w:tblPr>
        <w:tblStyle w:val="3"/>
        <w:tblW w:w="5000" w:type="pct"/>
        <w:jc w:val="center"/>
        <w:tblLayout w:type="autofit"/>
        <w:tblCellMar>
          <w:top w:w="0" w:type="dxa"/>
          <w:left w:w="108" w:type="dxa"/>
          <w:bottom w:w="0" w:type="dxa"/>
          <w:right w:w="108" w:type="dxa"/>
        </w:tblCellMar>
      </w:tblPr>
      <w:tblGrid>
        <w:gridCol w:w="715"/>
        <w:gridCol w:w="711"/>
        <w:gridCol w:w="7094"/>
        <w:gridCol w:w="665"/>
        <w:gridCol w:w="734"/>
        <w:gridCol w:w="503"/>
      </w:tblGrid>
      <w:tr w14:paraId="2DF3083A">
        <w:tblPrEx>
          <w:tblCellMar>
            <w:top w:w="0" w:type="dxa"/>
            <w:left w:w="108" w:type="dxa"/>
            <w:bottom w:w="0" w:type="dxa"/>
            <w:right w:w="108" w:type="dxa"/>
          </w:tblCellMar>
        </w:tblPrEx>
        <w:trPr>
          <w:trHeight w:val="993"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341" w:type="pct"/>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3402" w:type="pct"/>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319" w:type="pct"/>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352" w:type="pct"/>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自评得分项</w:t>
            </w:r>
          </w:p>
        </w:tc>
        <w:tc>
          <w:tcPr>
            <w:tcW w:w="241" w:type="pct"/>
            <w:tcBorders>
              <w:top w:val="single" w:color="auto" w:sz="4" w:space="0"/>
              <w:left w:val="nil"/>
              <w:bottom w:val="single" w:color="auto" w:sz="4" w:space="0"/>
              <w:right w:val="single" w:color="auto" w:sz="4" w:space="0"/>
            </w:tcBorders>
            <w:shd w:val="clear" w:color="auto" w:fill="auto"/>
            <w:vAlign w:val="center"/>
          </w:tcPr>
          <w:p w14:paraId="14C3AF4A">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w:t>
            </w:r>
          </w:p>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21B1A5A">
        <w:tblPrEx>
          <w:tblCellMar>
            <w:top w:w="0" w:type="dxa"/>
            <w:left w:w="108" w:type="dxa"/>
            <w:bottom w:w="0" w:type="dxa"/>
            <w:right w:w="108" w:type="dxa"/>
          </w:tblCellMar>
        </w:tblPrEx>
        <w:trPr>
          <w:trHeight w:val="1199" w:hRule="atLeast"/>
          <w:jc w:val="center"/>
        </w:trPr>
        <w:tc>
          <w:tcPr>
            <w:tcW w:w="343" w:type="pct"/>
            <w:vMerge w:val="restart"/>
            <w:tcBorders>
              <w:top w:val="single" w:color="auto" w:sz="4" w:space="0"/>
              <w:left w:val="single" w:color="auto" w:sz="4" w:space="0"/>
              <w:right w:val="single" w:color="auto" w:sz="4" w:space="0"/>
            </w:tcBorders>
            <w:shd w:val="clear" w:color="auto" w:fill="auto"/>
            <w:vAlign w:val="center"/>
          </w:tcPr>
          <w:p w14:paraId="7B3EE894">
            <w:pPr>
              <w:widowControl/>
              <w:spacing w:line="240" w:lineRule="exact"/>
              <w:jc w:val="center"/>
              <w:rPr>
                <w:rFonts w:ascii="楷体_GB2312" w:eastAsia="楷体_GB2312" w:cs="宋体"/>
                <w:b w:val="0"/>
                <w:color w:val="000000"/>
                <w:spacing w:val="0"/>
                <w:sz w:val="24"/>
                <w:szCs w:val="24"/>
              </w:rPr>
            </w:pPr>
            <w:r>
              <w:rPr>
                <w:rFonts w:hint="eastAsia" w:ascii="黑体" w:hAnsi="黑体" w:eastAsia="黑体" w:cs="黑体"/>
                <w:b w:val="0"/>
                <w:color w:val="000000"/>
                <w:spacing w:val="0"/>
                <w:sz w:val="21"/>
                <w:szCs w:val="21"/>
              </w:rPr>
              <w:t>评价项目</w:t>
            </w:r>
          </w:p>
        </w:tc>
        <w:tc>
          <w:tcPr>
            <w:tcW w:w="341" w:type="pct"/>
            <w:vMerge w:val="restart"/>
            <w:tcBorders>
              <w:top w:val="single" w:color="auto" w:sz="4" w:space="0"/>
              <w:left w:val="single" w:color="auto" w:sz="4" w:space="0"/>
              <w:right w:val="single" w:color="auto" w:sz="4" w:space="0"/>
            </w:tcBorders>
            <w:shd w:val="clear" w:color="auto" w:fill="auto"/>
            <w:vAlign w:val="center"/>
          </w:tcPr>
          <w:p w14:paraId="47B11A91">
            <w:pPr>
              <w:widowControl/>
              <w:spacing w:line="240" w:lineRule="exact"/>
              <w:jc w:val="center"/>
              <w:rPr>
                <w:rFonts w:hint="eastAsia" w:ascii="楷体" w:hAnsi="楷体" w:eastAsia="楷体" w:cs="楷体"/>
                <w:b w:val="0"/>
                <w:color w:val="000000"/>
                <w:spacing w:val="0"/>
                <w:sz w:val="20"/>
                <w:szCs w:val="20"/>
              </w:rPr>
            </w:pPr>
            <w:r>
              <w:rPr>
                <w:rFonts w:hint="eastAsia" w:ascii="楷体" w:hAnsi="楷体" w:eastAsia="楷体" w:cs="楷体"/>
                <w:b w:val="0"/>
                <w:color w:val="000000"/>
                <w:spacing w:val="0"/>
                <w:sz w:val="20"/>
                <w:szCs w:val="20"/>
              </w:rPr>
              <w:t>专业层次</w:t>
            </w:r>
          </w:p>
          <w:p w14:paraId="79D6CC55">
            <w:pPr>
              <w:widowControl/>
              <w:spacing w:line="240" w:lineRule="exact"/>
              <w:jc w:val="distribute"/>
              <w:rPr>
                <w:rFonts w:hint="eastAsia" w:ascii="楷体" w:hAnsi="楷体" w:eastAsia="楷体" w:cs="楷体"/>
                <w:b w:val="0"/>
                <w:color w:val="000000"/>
                <w:spacing w:val="0"/>
                <w:sz w:val="24"/>
                <w:szCs w:val="24"/>
                <w:lang w:eastAsia="zh-CN"/>
              </w:rPr>
            </w:pPr>
          </w:p>
        </w:tc>
        <w:tc>
          <w:tcPr>
            <w:tcW w:w="3402" w:type="pct"/>
            <w:tcBorders>
              <w:top w:val="single" w:color="auto" w:sz="4" w:space="0"/>
              <w:left w:val="single" w:color="auto" w:sz="4" w:space="0"/>
              <w:right w:val="single" w:color="auto" w:sz="4" w:space="0"/>
            </w:tcBorders>
            <w:shd w:val="clear" w:color="auto" w:fill="auto"/>
            <w:vAlign w:val="center"/>
          </w:tcPr>
          <w:p w14:paraId="17C5A5EF">
            <w:pPr>
              <w:widowControl/>
              <w:rPr>
                <w:rFonts w:hint="eastAsia" w:asciiTheme="majorEastAsia" w:hAnsiTheme="majorEastAsia" w:eastAsiaTheme="majorEastAsia" w:cstheme="majorEastAsia"/>
                <w:b w:val="0"/>
                <w:color w:val="auto"/>
                <w:spacing w:val="-4"/>
                <w:sz w:val="16"/>
                <w:szCs w:val="16"/>
                <w:lang w:val="en-US" w:eastAsia="zh-CN"/>
              </w:rPr>
            </w:pPr>
            <w:r>
              <w:rPr>
                <w:rFonts w:hint="eastAsia" w:asciiTheme="minorEastAsia" w:hAnsiTheme="minorEastAsia" w:eastAsiaTheme="minorEastAsia" w:cstheme="minorEastAsia"/>
                <w:bCs/>
                <w:color w:val="000000"/>
                <w:spacing w:val="-4"/>
                <w:sz w:val="18"/>
                <w:szCs w:val="18"/>
              </w:rPr>
              <w:t>本 科</w:t>
            </w:r>
            <w:r>
              <w:rPr>
                <w:rFonts w:hint="eastAsia" w:asciiTheme="minorEastAsia" w:hAnsiTheme="minorEastAsia" w:eastAsiaTheme="minorEastAsia" w:cstheme="minorEastAsia"/>
                <w:b w:val="0"/>
                <w:color w:val="000000"/>
                <w:spacing w:val="-4"/>
                <w:sz w:val="18"/>
                <w:szCs w:val="18"/>
              </w:rPr>
              <w:t>：</w:t>
            </w:r>
            <w:r>
              <w:rPr>
                <w:rFonts w:hint="eastAsia" w:ascii="宋体" w:hAnsi="宋体" w:eastAsia="宋体" w:cs="宋体"/>
                <w:b w:val="0"/>
                <w:color w:val="000000"/>
                <w:spacing w:val="-4"/>
                <w:sz w:val="18"/>
                <w:szCs w:val="18"/>
              </w:rPr>
              <w:t>A类3</w:t>
            </w:r>
            <w:r>
              <w:rPr>
                <w:rFonts w:hint="eastAsia" w:ascii="宋体" w:hAnsi="宋体" w:eastAsia="宋体" w:cs="宋体"/>
                <w:b w:val="0"/>
                <w:color w:val="000000"/>
                <w:spacing w:val="-4"/>
                <w:sz w:val="18"/>
                <w:szCs w:val="18"/>
                <w:lang w:val="en-US" w:eastAsia="zh-CN"/>
              </w:rPr>
              <w:t>6</w:t>
            </w:r>
            <w:r>
              <w:rPr>
                <w:rFonts w:hint="eastAsia" w:ascii="宋体" w:hAnsi="宋体" w:eastAsia="宋体" w:cs="宋体"/>
                <w:b w:val="0"/>
                <w:color w:val="000000"/>
                <w:spacing w:val="-4"/>
                <w:sz w:val="18"/>
                <w:szCs w:val="18"/>
              </w:rPr>
              <w:t>所高校且一流学科者得</w:t>
            </w:r>
            <w:r>
              <w:rPr>
                <w:rFonts w:hint="eastAsia" w:ascii="宋体" w:hAnsi="宋体" w:eastAsia="宋体" w:cs="宋体"/>
                <w:b w:val="0"/>
                <w:color w:val="000000"/>
                <w:spacing w:val="-4"/>
                <w:sz w:val="18"/>
                <w:szCs w:val="18"/>
                <w:lang w:val="en-US" w:eastAsia="zh-CN"/>
              </w:rPr>
              <w:t>3</w:t>
            </w:r>
            <w:r>
              <w:rPr>
                <w:rFonts w:hint="eastAsia" w:ascii="宋体" w:hAnsi="宋体" w:cs="宋体"/>
                <w:b w:val="0"/>
                <w:color w:val="000000"/>
                <w:spacing w:val="-4"/>
                <w:sz w:val="18"/>
                <w:szCs w:val="18"/>
                <w:lang w:val="en-US" w:eastAsia="zh-CN"/>
              </w:rPr>
              <w:t>5</w:t>
            </w:r>
            <w:r>
              <w:rPr>
                <w:rFonts w:hint="eastAsia" w:ascii="宋体" w:hAnsi="宋体" w:eastAsia="宋体" w:cs="宋体"/>
                <w:b w:val="0"/>
                <w:color w:val="000000"/>
                <w:spacing w:val="-4"/>
                <w:sz w:val="18"/>
                <w:szCs w:val="18"/>
              </w:rPr>
              <w:t>分；B类6所高校且一流学科者得</w:t>
            </w:r>
            <w:r>
              <w:rPr>
                <w:rFonts w:hint="eastAsia" w:ascii="宋体" w:hAnsi="宋体" w:cs="宋体"/>
                <w:b w:val="0"/>
                <w:color w:val="000000"/>
                <w:spacing w:val="-4"/>
                <w:sz w:val="18"/>
                <w:szCs w:val="18"/>
                <w:lang w:val="en-US" w:eastAsia="zh-CN"/>
              </w:rPr>
              <w:t>3</w:t>
            </w:r>
            <w:r>
              <w:rPr>
                <w:rFonts w:hint="eastAsia" w:cs="宋体"/>
                <w:b w:val="0"/>
                <w:color w:val="000000"/>
                <w:spacing w:val="-4"/>
                <w:sz w:val="18"/>
                <w:szCs w:val="18"/>
                <w:lang w:val="en-US" w:eastAsia="zh-CN"/>
              </w:rPr>
              <w:t>3</w:t>
            </w:r>
            <w:r>
              <w:rPr>
                <w:rFonts w:hint="eastAsia" w:ascii="宋体" w:hAnsi="宋体" w:eastAsia="宋体" w:cs="宋体"/>
                <w:b w:val="0"/>
                <w:color w:val="000000"/>
                <w:spacing w:val="-4"/>
                <w:sz w:val="18"/>
                <w:szCs w:val="18"/>
              </w:rPr>
              <w:t>分；A类3</w:t>
            </w:r>
            <w:r>
              <w:rPr>
                <w:rFonts w:hint="eastAsia" w:ascii="宋体" w:hAnsi="宋体" w:eastAsia="宋体" w:cs="宋体"/>
                <w:b w:val="0"/>
                <w:color w:val="000000"/>
                <w:spacing w:val="-4"/>
                <w:sz w:val="18"/>
                <w:szCs w:val="18"/>
                <w:lang w:val="en-US" w:eastAsia="zh-CN"/>
              </w:rPr>
              <w:t>6</w:t>
            </w:r>
            <w:r>
              <w:rPr>
                <w:rFonts w:hint="eastAsia" w:ascii="宋体" w:hAnsi="宋体" w:eastAsia="宋体" w:cs="宋体"/>
                <w:b w:val="0"/>
                <w:color w:val="000000"/>
                <w:spacing w:val="-4"/>
                <w:sz w:val="18"/>
                <w:szCs w:val="18"/>
              </w:rPr>
              <w:t>所高校且非一流学科者得</w:t>
            </w:r>
            <w:r>
              <w:rPr>
                <w:rFonts w:hint="eastAsia" w:cs="宋体"/>
                <w:b w:val="0"/>
                <w:color w:val="000000"/>
                <w:spacing w:val="-4"/>
                <w:sz w:val="18"/>
                <w:szCs w:val="18"/>
                <w:lang w:val="en-US" w:eastAsia="zh-CN"/>
              </w:rPr>
              <w:t>31</w:t>
            </w:r>
            <w:r>
              <w:rPr>
                <w:rFonts w:hint="eastAsia" w:ascii="宋体" w:hAnsi="宋体" w:eastAsia="宋体" w:cs="宋体"/>
                <w:b w:val="0"/>
                <w:color w:val="000000"/>
                <w:spacing w:val="-4"/>
                <w:sz w:val="18"/>
                <w:szCs w:val="18"/>
              </w:rPr>
              <w:t>分；非A类、B类高校且一流学科者得</w:t>
            </w:r>
            <w:r>
              <w:rPr>
                <w:rFonts w:hint="eastAsia" w:cs="宋体"/>
                <w:b w:val="0"/>
                <w:color w:val="000000"/>
                <w:spacing w:val="-4"/>
                <w:sz w:val="18"/>
                <w:szCs w:val="18"/>
                <w:lang w:val="en-US" w:eastAsia="zh-CN"/>
              </w:rPr>
              <w:t>31</w:t>
            </w:r>
            <w:r>
              <w:rPr>
                <w:rFonts w:hint="eastAsia" w:ascii="宋体" w:hAnsi="宋体" w:eastAsia="宋体" w:cs="宋体"/>
                <w:b w:val="0"/>
                <w:color w:val="000000"/>
                <w:spacing w:val="-4"/>
                <w:sz w:val="18"/>
                <w:szCs w:val="18"/>
              </w:rPr>
              <w:t>分；B类6所高校且非一流学科者得</w:t>
            </w:r>
            <w:r>
              <w:rPr>
                <w:rFonts w:hint="eastAsia" w:cs="宋体"/>
                <w:b w:val="0"/>
                <w:color w:val="000000"/>
                <w:spacing w:val="-4"/>
                <w:sz w:val="18"/>
                <w:szCs w:val="18"/>
                <w:lang w:val="en-US" w:eastAsia="zh-CN"/>
              </w:rPr>
              <w:t>29</w:t>
            </w:r>
            <w:r>
              <w:rPr>
                <w:rFonts w:hint="eastAsia" w:ascii="宋体" w:hAnsi="宋体" w:eastAsia="宋体" w:cs="宋体"/>
                <w:b w:val="0"/>
                <w:color w:val="000000"/>
                <w:spacing w:val="-4"/>
                <w:sz w:val="18"/>
                <w:szCs w:val="18"/>
              </w:rPr>
              <w:t>分；非A类、B类高校且</w:t>
            </w:r>
            <w:r>
              <w:rPr>
                <w:rFonts w:hint="eastAsia" w:ascii="宋体" w:hAnsi="宋体" w:eastAsia="宋体" w:cs="宋体"/>
                <w:b w:val="0"/>
                <w:color w:val="000000"/>
                <w:spacing w:val="-4"/>
                <w:sz w:val="18"/>
                <w:szCs w:val="18"/>
                <w:lang w:eastAsia="zh-CN"/>
              </w:rPr>
              <w:t>非</w:t>
            </w:r>
            <w:r>
              <w:rPr>
                <w:rFonts w:hint="eastAsia" w:ascii="宋体" w:hAnsi="宋体" w:eastAsia="宋体" w:cs="宋体"/>
                <w:b w:val="0"/>
                <w:color w:val="000000"/>
                <w:spacing w:val="-4"/>
                <w:sz w:val="18"/>
                <w:szCs w:val="18"/>
              </w:rPr>
              <w:t>一流学科者得</w:t>
            </w:r>
            <w:r>
              <w:rPr>
                <w:rFonts w:hint="eastAsia" w:cs="宋体"/>
                <w:b w:val="0"/>
                <w:color w:val="000000"/>
                <w:spacing w:val="-4"/>
                <w:sz w:val="18"/>
                <w:szCs w:val="18"/>
                <w:lang w:val="en-US" w:eastAsia="zh-CN"/>
              </w:rPr>
              <w:t>12</w:t>
            </w:r>
            <w:r>
              <w:rPr>
                <w:rFonts w:hint="eastAsia" w:ascii="宋体" w:hAnsi="宋体" w:eastAsia="宋体" w:cs="宋体"/>
                <w:b w:val="0"/>
                <w:color w:val="000000"/>
                <w:spacing w:val="-4"/>
                <w:sz w:val="18"/>
                <w:szCs w:val="18"/>
              </w:rPr>
              <w:t>分</w:t>
            </w:r>
            <w:r>
              <w:rPr>
                <w:rFonts w:hint="eastAsia" w:cs="宋体"/>
                <w:b w:val="0"/>
                <w:color w:val="000000"/>
                <w:spacing w:val="-4"/>
                <w:sz w:val="18"/>
                <w:szCs w:val="18"/>
                <w:lang w:val="en-US" w:eastAsia="zh-CN"/>
              </w:rPr>
              <w:t>。</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8B86857">
            <w:pPr>
              <w:widowControl/>
              <w:spacing w:line="240" w:lineRule="exact"/>
              <w:jc w:val="center"/>
              <w:rPr>
                <w:rFonts w:hint="default"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068108A0">
            <w:pPr>
              <w:widowControl/>
              <w:spacing w:line="240" w:lineRule="exact"/>
              <w:jc w:val="center"/>
              <w:rPr>
                <w:rFonts w:cs="宋体"/>
                <w:b w:val="0"/>
                <w:color w:val="FF0000"/>
                <w:spacing w:val="0"/>
                <w:sz w:val="21"/>
                <w:szCs w:val="21"/>
              </w:rPr>
            </w:pPr>
          </w:p>
        </w:tc>
        <w:tc>
          <w:tcPr>
            <w:tcW w:w="241" w:type="pct"/>
            <w:tcBorders>
              <w:top w:val="nil"/>
              <w:left w:val="nil"/>
              <w:bottom w:val="single" w:color="auto" w:sz="4" w:space="0"/>
              <w:right w:val="single" w:color="auto" w:sz="4" w:space="0"/>
            </w:tcBorders>
            <w:shd w:val="clear" w:color="auto" w:fill="auto"/>
            <w:vAlign w:val="center"/>
          </w:tcPr>
          <w:p w14:paraId="52C6B40B">
            <w:pPr>
              <w:widowControl/>
              <w:spacing w:line="240" w:lineRule="exact"/>
              <w:jc w:val="center"/>
              <w:rPr>
                <w:rFonts w:cs="宋体"/>
                <w:b w:val="0"/>
                <w:color w:val="FF0000"/>
                <w:spacing w:val="0"/>
                <w:sz w:val="21"/>
                <w:szCs w:val="21"/>
              </w:rPr>
            </w:pPr>
          </w:p>
        </w:tc>
      </w:tr>
      <w:tr w14:paraId="0939E33F">
        <w:tblPrEx>
          <w:tblCellMar>
            <w:top w:w="0" w:type="dxa"/>
            <w:left w:w="108" w:type="dxa"/>
            <w:bottom w:w="0" w:type="dxa"/>
            <w:right w:w="108" w:type="dxa"/>
          </w:tblCellMar>
        </w:tblPrEx>
        <w:trPr>
          <w:trHeight w:val="2170" w:hRule="atLeast"/>
          <w:jc w:val="center"/>
        </w:trPr>
        <w:tc>
          <w:tcPr>
            <w:tcW w:w="343" w:type="pct"/>
            <w:vMerge w:val="continue"/>
            <w:tcBorders>
              <w:left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p>
        </w:tc>
        <w:tc>
          <w:tcPr>
            <w:tcW w:w="341" w:type="pct"/>
            <w:vMerge w:val="continue"/>
            <w:tcBorders>
              <w:left w:val="single" w:color="auto" w:sz="4" w:space="0"/>
              <w:bottom w:val="single" w:color="000000" w:sz="4" w:space="0"/>
              <w:right w:val="single" w:color="auto" w:sz="4" w:space="0"/>
            </w:tcBorders>
            <w:shd w:val="clear" w:color="auto" w:fill="auto"/>
            <w:vAlign w:val="center"/>
          </w:tcPr>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3402" w:type="pct"/>
            <w:tcBorders>
              <w:top w:val="single" w:color="auto" w:sz="4" w:space="0"/>
              <w:left w:val="single" w:color="auto" w:sz="4" w:space="0"/>
              <w:right w:val="single" w:color="auto" w:sz="4" w:space="0"/>
            </w:tcBorders>
            <w:shd w:val="clear" w:color="auto" w:fill="auto"/>
            <w:vAlign w:val="center"/>
          </w:tcPr>
          <w:p w14:paraId="0A2E307B">
            <w:pPr>
              <w:keepNext w:val="0"/>
              <w:keepLines w:val="0"/>
              <w:pageBreakBefore w:val="0"/>
              <w:widowControl/>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Cs/>
                <w:color w:val="000000"/>
                <w:spacing w:val="-4"/>
                <w:sz w:val="18"/>
                <w:szCs w:val="18"/>
                <w:lang w:eastAsia="zh-CN"/>
              </w:rPr>
              <w:t>硕士</w:t>
            </w:r>
            <w:r>
              <w:rPr>
                <w:rFonts w:hint="eastAsia" w:asciiTheme="minorEastAsia" w:hAnsiTheme="minorEastAsia" w:eastAsiaTheme="minorEastAsia" w:cstheme="minorEastAsia"/>
                <w:bCs/>
                <w:color w:val="000000"/>
                <w:spacing w:val="-4"/>
                <w:sz w:val="18"/>
                <w:szCs w:val="18"/>
              </w:rPr>
              <w:t>研究生</w:t>
            </w:r>
            <w:r>
              <w:rPr>
                <w:rFonts w:hint="eastAsia" w:asciiTheme="minorEastAsia" w:hAnsiTheme="minorEastAsia" w:eastAsiaTheme="minorEastAsia" w:cstheme="minorEastAsia"/>
                <w:b w:val="0"/>
                <w:color w:val="000000"/>
                <w:spacing w:val="-4"/>
                <w:sz w:val="18"/>
                <w:szCs w:val="18"/>
              </w:rPr>
              <w:t>：</w:t>
            </w:r>
          </w:p>
          <w:p w14:paraId="5AA0F8C0">
            <w:pPr>
              <w:keepNext w:val="0"/>
              <w:keepLines w:val="0"/>
              <w:pageBreakBefore w:val="0"/>
              <w:widowControl/>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rPr>
              <w:t>国 内</w:t>
            </w:r>
            <w:r>
              <w:rPr>
                <w:rFonts w:hint="eastAsia" w:asciiTheme="minorEastAsia" w:hAnsiTheme="minorEastAsia" w:eastAsiaTheme="minorEastAsia" w:cstheme="minorEastAsia"/>
                <w:b w:val="0"/>
                <w:color w:val="000000"/>
                <w:spacing w:val="-4"/>
                <w:sz w:val="18"/>
                <w:szCs w:val="18"/>
              </w:rPr>
              <w:t>：</w:t>
            </w:r>
            <w:r>
              <w:rPr>
                <w:rFonts w:hint="eastAsia" w:ascii="宋体" w:hAnsi="宋体" w:eastAsia="宋体" w:cs="宋体"/>
                <w:b w:val="0"/>
                <w:color w:val="000000"/>
                <w:spacing w:val="-4"/>
                <w:sz w:val="18"/>
                <w:szCs w:val="18"/>
              </w:rPr>
              <w:t>A类3</w:t>
            </w:r>
            <w:r>
              <w:rPr>
                <w:rFonts w:hint="eastAsia" w:ascii="宋体" w:hAnsi="宋体" w:eastAsia="宋体" w:cs="宋体"/>
                <w:b w:val="0"/>
                <w:color w:val="000000"/>
                <w:spacing w:val="-4"/>
                <w:sz w:val="18"/>
                <w:szCs w:val="18"/>
                <w:lang w:val="en-US" w:eastAsia="zh-CN"/>
              </w:rPr>
              <w:t>6</w:t>
            </w:r>
            <w:r>
              <w:rPr>
                <w:rFonts w:hint="eastAsia" w:ascii="宋体" w:hAnsi="宋体" w:eastAsia="宋体" w:cs="宋体"/>
                <w:b w:val="0"/>
                <w:color w:val="000000"/>
                <w:spacing w:val="-4"/>
                <w:sz w:val="18"/>
                <w:szCs w:val="18"/>
              </w:rPr>
              <w:t>所高校且一流学科者得</w:t>
            </w:r>
            <w:r>
              <w:rPr>
                <w:rFonts w:hint="eastAsia" w:ascii="宋体" w:hAnsi="宋体" w:cs="宋体"/>
                <w:b w:val="0"/>
                <w:color w:val="000000"/>
                <w:spacing w:val="-4"/>
                <w:sz w:val="18"/>
                <w:szCs w:val="18"/>
                <w:lang w:val="en-US" w:eastAsia="zh-CN"/>
              </w:rPr>
              <w:t>30</w:t>
            </w:r>
            <w:r>
              <w:rPr>
                <w:rFonts w:hint="eastAsia" w:ascii="宋体" w:hAnsi="宋体" w:eastAsia="宋体" w:cs="宋体"/>
                <w:b w:val="0"/>
                <w:color w:val="000000"/>
                <w:spacing w:val="-4"/>
                <w:sz w:val="18"/>
                <w:szCs w:val="18"/>
              </w:rPr>
              <w:t>分；B类6所高校且一流学科者得</w:t>
            </w:r>
            <w:r>
              <w:rPr>
                <w:rFonts w:hint="eastAsia" w:ascii="宋体" w:hAnsi="宋体" w:cs="宋体"/>
                <w:b w:val="0"/>
                <w:color w:val="000000"/>
                <w:spacing w:val="-4"/>
                <w:sz w:val="18"/>
                <w:szCs w:val="18"/>
                <w:lang w:val="en-US" w:eastAsia="zh-CN"/>
              </w:rPr>
              <w:t>28</w:t>
            </w:r>
            <w:r>
              <w:rPr>
                <w:rFonts w:hint="eastAsia" w:ascii="宋体" w:hAnsi="宋体" w:eastAsia="宋体" w:cs="宋体"/>
                <w:b w:val="0"/>
                <w:color w:val="000000"/>
                <w:spacing w:val="-4"/>
                <w:sz w:val="18"/>
                <w:szCs w:val="18"/>
              </w:rPr>
              <w:t>分；A类3</w:t>
            </w:r>
            <w:r>
              <w:rPr>
                <w:rFonts w:hint="eastAsia" w:ascii="宋体" w:hAnsi="宋体" w:eastAsia="宋体" w:cs="宋体"/>
                <w:b w:val="0"/>
                <w:color w:val="000000"/>
                <w:spacing w:val="-4"/>
                <w:sz w:val="18"/>
                <w:szCs w:val="18"/>
                <w:lang w:val="en-US" w:eastAsia="zh-CN"/>
              </w:rPr>
              <w:t>6</w:t>
            </w:r>
            <w:r>
              <w:rPr>
                <w:rFonts w:hint="eastAsia" w:ascii="宋体" w:hAnsi="宋体" w:eastAsia="宋体" w:cs="宋体"/>
                <w:b w:val="0"/>
                <w:color w:val="000000"/>
                <w:spacing w:val="-4"/>
                <w:sz w:val="18"/>
                <w:szCs w:val="18"/>
              </w:rPr>
              <w:t>所高校且非一流学科者得</w:t>
            </w:r>
            <w:r>
              <w:rPr>
                <w:rFonts w:hint="eastAsia" w:ascii="宋体" w:hAnsi="宋体" w:cs="宋体"/>
                <w:b w:val="0"/>
                <w:color w:val="000000"/>
                <w:spacing w:val="-4"/>
                <w:sz w:val="18"/>
                <w:szCs w:val="18"/>
                <w:lang w:val="en-US" w:eastAsia="zh-CN"/>
              </w:rPr>
              <w:t>26</w:t>
            </w:r>
            <w:r>
              <w:rPr>
                <w:rFonts w:hint="eastAsia" w:ascii="宋体" w:hAnsi="宋体" w:eastAsia="宋体" w:cs="宋体"/>
                <w:b w:val="0"/>
                <w:color w:val="000000"/>
                <w:spacing w:val="-4"/>
                <w:sz w:val="18"/>
                <w:szCs w:val="18"/>
              </w:rPr>
              <w:t>分；非A类、B类高校且一流学科者得</w:t>
            </w:r>
            <w:r>
              <w:rPr>
                <w:rFonts w:hint="eastAsia" w:ascii="宋体" w:hAnsi="宋体" w:cs="宋体"/>
                <w:b w:val="0"/>
                <w:color w:val="000000"/>
                <w:spacing w:val="-4"/>
                <w:sz w:val="18"/>
                <w:szCs w:val="18"/>
                <w:lang w:val="en-US" w:eastAsia="zh-CN"/>
              </w:rPr>
              <w:t>26</w:t>
            </w:r>
            <w:r>
              <w:rPr>
                <w:rFonts w:hint="eastAsia" w:ascii="宋体" w:hAnsi="宋体" w:eastAsia="宋体" w:cs="宋体"/>
                <w:b w:val="0"/>
                <w:color w:val="000000"/>
                <w:spacing w:val="-4"/>
                <w:sz w:val="18"/>
                <w:szCs w:val="18"/>
              </w:rPr>
              <w:t>分；B类6所高校且非一流学科者得</w:t>
            </w:r>
            <w:r>
              <w:rPr>
                <w:rFonts w:hint="eastAsia" w:ascii="宋体" w:hAnsi="宋体" w:cs="宋体"/>
                <w:b w:val="0"/>
                <w:color w:val="000000"/>
                <w:spacing w:val="-4"/>
                <w:sz w:val="18"/>
                <w:szCs w:val="18"/>
                <w:lang w:val="en-US" w:eastAsia="zh-CN"/>
              </w:rPr>
              <w:t>24</w:t>
            </w:r>
            <w:r>
              <w:rPr>
                <w:rFonts w:hint="eastAsia" w:ascii="宋体" w:hAnsi="宋体" w:eastAsia="宋体" w:cs="宋体"/>
                <w:b w:val="0"/>
                <w:color w:val="000000"/>
                <w:spacing w:val="-4"/>
                <w:sz w:val="18"/>
                <w:szCs w:val="18"/>
              </w:rPr>
              <w:t>分；非A类、B类高校且</w:t>
            </w:r>
            <w:r>
              <w:rPr>
                <w:rFonts w:hint="eastAsia" w:ascii="宋体" w:hAnsi="宋体" w:eastAsia="宋体" w:cs="宋体"/>
                <w:b w:val="0"/>
                <w:color w:val="000000"/>
                <w:spacing w:val="-4"/>
                <w:sz w:val="18"/>
                <w:szCs w:val="18"/>
                <w:lang w:eastAsia="zh-CN"/>
              </w:rPr>
              <w:t>非</w:t>
            </w:r>
            <w:r>
              <w:rPr>
                <w:rFonts w:hint="eastAsia" w:ascii="宋体" w:hAnsi="宋体" w:eastAsia="宋体" w:cs="宋体"/>
                <w:b w:val="0"/>
                <w:color w:val="000000"/>
                <w:spacing w:val="-4"/>
                <w:sz w:val="18"/>
                <w:szCs w:val="18"/>
              </w:rPr>
              <w:t>一流学科者得</w:t>
            </w:r>
            <w:r>
              <w:rPr>
                <w:rFonts w:hint="eastAsia" w:ascii="宋体" w:hAnsi="宋体" w:cs="宋体"/>
                <w:b w:val="0"/>
                <w:color w:val="000000"/>
                <w:spacing w:val="-4"/>
                <w:sz w:val="18"/>
                <w:szCs w:val="18"/>
                <w:lang w:val="en-US" w:eastAsia="zh-CN"/>
              </w:rPr>
              <w:t>16</w:t>
            </w:r>
            <w:r>
              <w:rPr>
                <w:rFonts w:hint="eastAsia" w:ascii="宋体" w:hAnsi="宋体" w:eastAsia="宋体" w:cs="宋体"/>
                <w:b w:val="0"/>
                <w:color w:val="000000"/>
                <w:spacing w:val="-4"/>
                <w:sz w:val="18"/>
                <w:szCs w:val="18"/>
              </w:rPr>
              <w:t>分</w:t>
            </w:r>
            <w:r>
              <w:rPr>
                <w:rFonts w:hint="eastAsia" w:cs="宋体"/>
                <w:b w:val="0"/>
                <w:color w:val="000000"/>
                <w:spacing w:val="-4"/>
                <w:sz w:val="18"/>
                <w:szCs w:val="18"/>
                <w:lang w:val="en-US" w:eastAsia="zh-CN"/>
              </w:rPr>
              <w:t>。</w:t>
            </w:r>
          </w:p>
          <w:p w14:paraId="4EE0C81C">
            <w:pPr>
              <w:keepNext w:val="0"/>
              <w:keepLines w:val="0"/>
              <w:pageBreakBefore w:val="0"/>
              <w:widowControl/>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rPr>
              <w:t>海 外</w:t>
            </w:r>
            <w:r>
              <w:rPr>
                <w:rFonts w:hint="eastAsia" w:asciiTheme="minorEastAsia" w:hAnsiTheme="minorEastAsia" w:eastAsiaTheme="minorEastAsia" w:cstheme="minorEastAsia"/>
                <w:b w:val="0"/>
                <w:color w:val="000000"/>
                <w:spacing w:val="-4"/>
                <w:sz w:val="18"/>
                <w:szCs w:val="18"/>
              </w:rPr>
              <w:t>：</w:t>
            </w:r>
          </w:p>
          <w:p w14:paraId="70CFF1EA">
            <w:pPr>
              <w:widowControl/>
              <w:rPr>
                <w:rFonts w:hint="default" w:asciiTheme="majorEastAsia" w:hAnsiTheme="majorEastAsia" w:eastAsiaTheme="majorEastAsia" w:cstheme="majorEastAsia"/>
                <w:b w:val="0"/>
                <w:color w:val="000000"/>
                <w:spacing w:val="-4"/>
                <w:sz w:val="18"/>
                <w:szCs w:val="18"/>
                <w:lang w:val="en-US" w:eastAsia="zh-CN"/>
              </w:rPr>
            </w:pPr>
            <w:r>
              <w:rPr>
                <w:rFonts w:hint="eastAsia" w:ascii="宋体" w:hAnsi="宋体" w:eastAsia="宋体" w:cs="宋体"/>
                <w:b w:val="0"/>
                <w:color w:val="000000"/>
                <w:spacing w:val="-4"/>
                <w:sz w:val="18"/>
                <w:szCs w:val="18"/>
              </w:rPr>
              <w:t>世界综合排名高校1-10名的，得30分；世界综合排名高校11-50名的，得28分；世界综合排名高校51-100名的</w:t>
            </w:r>
            <w:r>
              <w:rPr>
                <w:rFonts w:hint="eastAsia" w:ascii="宋体" w:hAnsi="宋体" w:eastAsia="宋体" w:cs="宋体"/>
                <w:b w:val="0"/>
                <w:color w:val="000000"/>
                <w:spacing w:val="-4"/>
                <w:sz w:val="18"/>
                <w:szCs w:val="18"/>
                <w:lang w:val="en-US" w:eastAsia="zh-CN"/>
              </w:rPr>
              <w:t>,</w:t>
            </w:r>
            <w:r>
              <w:rPr>
                <w:rFonts w:hint="eastAsia" w:ascii="宋体" w:hAnsi="宋体" w:eastAsia="宋体" w:cs="宋体"/>
                <w:b w:val="0"/>
                <w:color w:val="000000"/>
                <w:spacing w:val="-4"/>
                <w:sz w:val="18"/>
                <w:szCs w:val="18"/>
              </w:rPr>
              <w:t>得</w:t>
            </w:r>
            <w:r>
              <w:rPr>
                <w:rFonts w:hint="eastAsia" w:ascii="宋体" w:hAnsi="宋体" w:eastAsia="宋体" w:cs="宋体"/>
                <w:b w:val="0"/>
                <w:color w:val="000000"/>
                <w:spacing w:val="-4"/>
                <w:sz w:val="18"/>
                <w:szCs w:val="18"/>
                <w:lang w:val="en-US" w:eastAsia="zh-CN"/>
              </w:rPr>
              <w:t>26</w:t>
            </w:r>
            <w:r>
              <w:rPr>
                <w:rFonts w:hint="eastAsia" w:ascii="宋体" w:hAnsi="宋体" w:eastAsia="宋体" w:cs="宋体"/>
                <w:b w:val="0"/>
                <w:color w:val="000000"/>
                <w:spacing w:val="-4"/>
                <w:sz w:val="18"/>
                <w:szCs w:val="18"/>
              </w:rPr>
              <w:t>分；世界综合排名高校101-200名的，得</w:t>
            </w:r>
            <w:r>
              <w:rPr>
                <w:rFonts w:hint="eastAsia" w:ascii="宋体" w:hAnsi="宋体" w:eastAsia="宋体" w:cs="宋体"/>
                <w:b w:val="0"/>
                <w:color w:val="000000"/>
                <w:spacing w:val="-4"/>
                <w:sz w:val="18"/>
                <w:szCs w:val="18"/>
                <w:lang w:val="en-US" w:eastAsia="zh-CN"/>
              </w:rPr>
              <w:t>24</w:t>
            </w:r>
            <w:r>
              <w:rPr>
                <w:rFonts w:hint="eastAsia" w:ascii="宋体" w:hAnsi="宋体" w:eastAsia="宋体" w:cs="宋体"/>
                <w:b w:val="0"/>
                <w:color w:val="000000"/>
                <w:spacing w:val="-4"/>
                <w:sz w:val="18"/>
                <w:szCs w:val="18"/>
              </w:rPr>
              <w:t>分；世界综合排名高校201-</w:t>
            </w:r>
            <w:r>
              <w:rPr>
                <w:rFonts w:hint="eastAsia" w:ascii="宋体" w:hAnsi="宋体" w:eastAsia="宋体" w:cs="宋体"/>
                <w:b w:val="0"/>
                <w:color w:val="000000"/>
                <w:spacing w:val="-4"/>
                <w:sz w:val="18"/>
                <w:szCs w:val="18"/>
                <w:lang w:val="en-US" w:eastAsia="zh-CN"/>
              </w:rPr>
              <w:t>3</w:t>
            </w:r>
            <w:r>
              <w:rPr>
                <w:rFonts w:hint="eastAsia" w:ascii="宋体" w:hAnsi="宋体" w:eastAsia="宋体" w:cs="宋体"/>
                <w:b w:val="0"/>
                <w:color w:val="000000"/>
                <w:spacing w:val="-4"/>
                <w:sz w:val="18"/>
                <w:szCs w:val="18"/>
              </w:rPr>
              <w:t>00名的，得</w:t>
            </w:r>
            <w:r>
              <w:rPr>
                <w:rFonts w:hint="eastAsia" w:ascii="宋体" w:hAnsi="宋体" w:eastAsia="宋体" w:cs="宋体"/>
                <w:b w:val="0"/>
                <w:color w:val="000000"/>
                <w:spacing w:val="-4"/>
                <w:sz w:val="18"/>
                <w:szCs w:val="18"/>
                <w:lang w:val="en-US" w:eastAsia="zh-CN"/>
              </w:rPr>
              <w:t>22</w:t>
            </w:r>
            <w:r>
              <w:rPr>
                <w:rFonts w:hint="eastAsia" w:ascii="宋体" w:hAnsi="宋体" w:eastAsia="宋体" w:cs="宋体"/>
                <w:b w:val="0"/>
                <w:color w:val="000000"/>
                <w:spacing w:val="-4"/>
                <w:sz w:val="18"/>
                <w:szCs w:val="18"/>
              </w:rPr>
              <w:t>分。</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76EF434E">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241" w:type="pct"/>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741ADA68">
        <w:tblPrEx>
          <w:tblCellMar>
            <w:top w:w="0" w:type="dxa"/>
            <w:left w:w="108" w:type="dxa"/>
            <w:bottom w:w="0" w:type="dxa"/>
            <w:right w:w="108" w:type="dxa"/>
          </w:tblCellMar>
        </w:tblPrEx>
        <w:trPr>
          <w:trHeight w:val="3167" w:hRule="atLeast"/>
          <w:jc w:val="center"/>
        </w:trPr>
        <w:tc>
          <w:tcPr>
            <w:tcW w:w="343" w:type="pct"/>
            <w:vMerge w:val="continue"/>
            <w:tcBorders>
              <w:left w:val="single" w:color="auto" w:sz="4" w:space="0"/>
              <w:right w:val="single" w:color="auto" w:sz="4" w:space="0"/>
            </w:tcBorders>
            <w:vAlign w:val="center"/>
          </w:tcPr>
          <w:p w14:paraId="28284EFC">
            <w:pPr>
              <w:widowControl/>
              <w:spacing w:line="240" w:lineRule="exact"/>
              <w:jc w:val="center"/>
              <w:rPr>
                <w:rFonts w:ascii="楷体_GB2312" w:eastAsia="楷体_GB2312" w:cs="宋体"/>
                <w:b w:val="0"/>
                <w:color w:val="000000"/>
                <w:spacing w:val="0"/>
                <w:sz w:val="24"/>
                <w:szCs w:val="24"/>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30556B6A">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科研成果</w:t>
            </w:r>
          </w:p>
        </w:tc>
        <w:tc>
          <w:tcPr>
            <w:tcW w:w="3402" w:type="pct"/>
            <w:tcBorders>
              <w:top w:val="single" w:color="auto" w:sz="4" w:space="0"/>
              <w:left w:val="nil"/>
              <w:bottom w:val="single" w:color="auto" w:sz="4" w:space="0"/>
              <w:right w:val="single" w:color="auto" w:sz="4" w:space="0"/>
            </w:tcBorders>
            <w:shd w:val="clear" w:color="auto" w:fill="auto"/>
            <w:vAlign w:val="center"/>
          </w:tcPr>
          <w:p w14:paraId="225A4AE7">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1. SCI、SSCI一区检索的本学科学术期刊论文，每篇得15分（第一作者，不含并列第一作者）；</w:t>
            </w:r>
          </w:p>
          <w:p w14:paraId="28D46233">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2. SCI、SSCI一区检索（并列第一作者）或SCI、SSCI二区检索的本学科学术期刊论文（第一作者，不含并列第一作者），每篇得10分；</w:t>
            </w:r>
          </w:p>
          <w:p w14:paraId="3BEC1B15">
            <w:pPr>
              <w:widowControl/>
              <w:rPr>
                <w:rFonts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3. SCI、SSCI二区检索（并列第一作者）或SCI、SSCI三区检索的本学科学术期刊论文（第一作者，不含并列第一作者），每篇得5分；</w:t>
            </w:r>
          </w:p>
          <w:p w14:paraId="766F9C41">
            <w:pPr>
              <w:widowControl/>
              <w:rPr>
                <w:rFonts w:hint="eastAsia" w:asciiTheme="majorEastAsia" w:hAnsiTheme="majorEastAsia" w:eastAsiaTheme="majorEastAsia" w:cstheme="majorEastAsia"/>
                <w:b/>
                <w:bCs/>
                <w:spacing w:val="-4"/>
                <w:sz w:val="16"/>
                <w:szCs w:val="16"/>
              </w:rPr>
            </w:pPr>
            <w:r>
              <w:rPr>
                <w:rFonts w:hint="eastAsia" w:asciiTheme="majorEastAsia" w:hAnsiTheme="majorEastAsia" w:eastAsiaTheme="majorEastAsia" w:cstheme="majorEastAsia"/>
                <w:b w:val="0"/>
                <w:spacing w:val="-4"/>
                <w:sz w:val="16"/>
                <w:szCs w:val="16"/>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spacing w:val="-4"/>
                <w:sz w:val="16"/>
                <w:szCs w:val="16"/>
              </w:rPr>
              <w:t>SCI、SSCI分区以中科院年度分区为准。</w:t>
            </w:r>
          </w:p>
          <w:p w14:paraId="77BC1210">
            <w:pPr>
              <w:widowControl/>
              <w:numPr>
                <w:ilvl w:val="0"/>
                <w:numId w:val="0"/>
              </w:numPr>
              <w:spacing w:line="120" w:lineRule="auto"/>
              <w:ind w:leftChars="0"/>
              <w:rPr>
                <w:rFonts w:hint="eastAsia" w:asciiTheme="majorEastAsia" w:hAnsiTheme="majorEastAsia" w:eastAsiaTheme="majorEastAsia" w:cstheme="majorEastAsia"/>
                <w:b w:val="0"/>
                <w:spacing w:val="-4"/>
                <w:sz w:val="16"/>
                <w:szCs w:val="16"/>
              </w:rPr>
            </w:pPr>
            <w:r>
              <w:rPr>
                <w:rFonts w:hint="eastAsia" w:asciiTheme="majorEastAsia" w:hAnsiTheme="majorEastAsia" w:eastAsiaTheme="majorEastAsia" w:cstheme="majorEastAsia"/>
                <w:b w:val="0"/>
                <w:spacing w:val="-4"/>
                <w:sz w:val="16"/>
                <w:szCs w:val="16"/>
              </w:rPr>
              <w:t>5.作为第一发明人发表发明专利，每项得10分。</w:t>
            </w:r>
          </w:p>
          <w:p w14:paraId="0D3061B7">
            <w:pPr>
              <w:widowControl/>
              <w:numPr>
                <w:ilvl w:val="0"/>
                <w:numId w:val="0"/>
              </w:numPr>
              <w:spacing w:line="120" w:lineRule="auto"/>
              <w:ind w:leftChars="0"/>
              <w:rPr>
                <w:rFonts w:asciiTheme="minorEastAsia" w:hAnsiTheme="minorEastAsia" w:eastAsiaTheme="minorEastAsia" w:cstheme="minorEastAsia"/>
                <w:b w:val="0"/>
                <w:spacing w:val="-4"/>
                <w:sz w:val="18"/>
                <w:szCs w:val="18"/>
              </w:rPr>
            </w:pPr>
            <w:r>
              <w:rPr>
                <w:rFonts w:hint="eastAsia" w:asciiTheme="majorEastAsia" w:hAnsiTheme="majorEastAsia" w:eastAsiaTheme="majorEastAsia" w:cstheme="majorEastAsia"/>
                <w:b w:val="0"/>
                <w:spacing w:val="-4"/>
                <w:sz w:val="16"/>
                <w:szCs w:val="16"/>
                <w:lang w:val="en-US" w:eastAsia="zh-CN"/>
              </w:rPr>
              <w:t>6.</w:t>
            </w:r>
            <w:r>
              <w:rPr>
                <w:rFonts w:hint="eastAsia" w:asciiTheme="majorEastAsia" w:hAnsiTheme="majorEastAsia" w:eastAsiaTheme="majorEastAsia" w:cstheme="majorEastAsia"/>
                <w:b w:val="0"/>
                <w:spacing w:val="-4"/>
                <w:sz w:val="16"/>
                <w:szCs w:val="16"/>
              </w:rPr>
              <w:t>各项累加不超过20分。</w:t>
            </w:r>
          </w:p>
        </w:tc>
        <w:tc>
          <w:tcPr>
            <w:tcW w:w="319" w:type="pct"/>
            <w:tcBorders>
              <w:top w:val="single" w:color="auto" w:sz="4" w:space="0"/>
              <w:left w:val="nil"/>
              <w:bottom w:val="single" w:color="auto" w:sz="4" w:space="0"/>
              <w:right w:val="single" w:color="auto" w:sz="4" w:space="0"/>
            </w:tcBorders>
            <w:shd w:val="clear" w:color="auto" w:fill="auto"/>
            <w:vAlign w:val="center"/>
          </w:tcPr>
          <w:p w14:paraId="60B0C358">
            <w:pPr>
              <w:widowControl/>
              <w:spacing w:line="240" w:lineRule="exact"/>
              <w:jc w:val="center"/>
              <w:rPr>
                <w:rFonts w:hint="default" w:eastAsia="宋体" w:cs="宋体"/>
                <w:b w:val="0"/>
                <w:spacing w:val="0"/>
                <w:sz w:val="24"/>
                <w:szCs w:val="24"/>
                <w:lang w:val="en-US" w:eastAsia="zh-CN"/>
              </w:rPr>
            </w:pPr>
            <w:r>
              <w:rPr>
                <w:rFonts w:hint="eastAsia" w:cs="宋体"/>
                <w:b w:val="0"/>
                <w:spacing w:val="0"/>
                <w:sz w:val="24"/>
                <w:szCs w:val="24"/>
                <w:lang w:val="en-US" w:eastAsia="zh-CN"/>
              </w:rPr>
              <w:t>20</w:t>
            </w:r>
          </w:p>
        </w:tc>
        <w:tc>
          <w:tcPr>
            <w:tcW w:w="352" w:type="pct"/>
            <w:tcBorders>
              <w:top w:val="single" w:color="auto" w:sz="4" w:space="0"/>
              <w:left w:val="nil"/>
              <w:bottom w:val="single" w:color="auto" w:sz="4" w:space="0"/>
              <w:right w:val="single" w:color="auto" w:sz="4" w:space="0"/>
            </w:tcBorders>
            <w:shd w:val="clear" w:color="auto" w:fill="auto"/>
            <w:vAlign w:val="center"/>
          </w:tcPr>
          <w:p w14:paraId="2D1BC46E">
            <w:pPr>
              <w:widowControl/>
              <w:spacing w:line="240" w:lineRule="exact"/>
              <w:jc w:val="center"/>
              <w:rPr>
                <w:rFonts w:cs="宋体"/>
                <w:b w:val="0"/>
                <w:color w:val="FF0000"/>
                <w:spacing w:val="0"/>
                <w:sz w:val="21"/>
                <w:szCs w:val="21"/>
              </w:rPr>
            </w:pPr>
          </w:p>
        </w:tc>
        <w:tc>
          <w:tcPr>
            <w:tcW w:w="241" w:type="pct"/>
            <w:tcBorders>
              <w:top w:val="single" w:color="auto" w:sz="4" w:space="0"/>
              <w:left w:val="nil"/>
              <w:bottom w:val="single" w:color="auto" w:sz="4" w:space="0"/>
              <w:right w:val="single" w:color="auto" w:sz="4" w:space="0"/>
            </w:tcBorders>
            <w:shd w:val="clear" w:color="auto" w:fill="auto"/>
            <w:vAlign w:val="center"/>
          </w:tcPr>
          <w:p w14:paraId="197E35B8">
            <w:pPr>
              <w:widowControl/>
              <w:spacing w:line="240" w:lineRule="exact"/>
              <w:jc w:val="center"/>
              <w:rPr>
                <w:rFonts w:cs="宋体"/>
                <w:b w:val="0"/>
                <w:color w:val="FF0000"/>
                <w:spacing w:val="0"/>
                <w:sz w:val="21"/>
                <w:szCs w:val="21"/>
              </w:rPr>
            </w:pPr>
          </w:p>
        </w:tc>
      </w:tr>
      <w:tr w14:paraId="5014D71A">
        <w:tblPrEx>
          <w:tblCellMar>
            <w:top w:w="0" w:type="dxa"/>
            <w:left w:w="108" w:type="dxa"/>
            <w:bottom w:w="0" w:type="dxa"/>
            <w:right w:w="108" w:type="dxa"/>
          </w:tblCellMar>
        </w:tblPrEx>
        <w:trPr>
          <w:trHeight w:val="1396" w:hRule="atLeast"/>
          <w:jc w:val="center"/>
        </w:trPr>
        <w:tc>
          <w:tcPr>
            <w:tcW w:w="343" w:type="pct"/>
            <w:vMerge w:val="continue"/>
            <w:tcBorders>
              <w:left w:val="single" w:color="auto" w:sz="4" w:space="0"/>
              <w:right w:val="single" w:color="auto" w:sz="4" w:space="0"/>
            </w:tcBorders>
            <w:vAlign w:val="center"/>
          </w:tcPr>
          <w:p w14:paraId="3B0E82AF">
            <w:pPr>
              <w:widowControl/>
              <w:spacing w:line="240" w:lineRule="exact"/>
              <w:jc w:val="center"/>
              <w:rPr>
                <w:rFonts w:ascii="楷体_GB2312" w:eastAsia="楷体_GB2312" w:cs="宋体"/>
                <w:b w:val="0"/>
                <w:color w:val="000000"/>
                <w:spacing w:val="0"/>
                <w:sz w:val="24"/>
                <w:szCs w:val="24"/>
              </w:rPr>
            </w:pPr>
          </w:p>
        </w:tc>
        <w:tc>
          <w:tcPr>
            <w:tcW w:w="341" w:type="pct"/>
            <w:tcBorders>
              <w:top w:val="single" w:color="auto" w:sz="4" w:space="0"/>
              <w:left w:val="single" w:color="auto" w:sz="4" w:space="0"/>
              <w:right w:val="single" w:color="auto" w:sz="4" w:space="0"/>
            </w:tcBorders>
            <w:shd w:val="clear" w:color="auto" w:fill="auto"/>
            <w:vAlign w:val="center"/>
          </w:tcPr>
          <w:p w14:paraId="5AEF4034">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职业资格</w:t>
            </w:r>
          </w:p>
        </w:tc>
        <w:tc>
          <w:tcPr>
            <w:tcW w:w="3402" w:type="pct"/>
            <w:tcBorders>
              <w:top w:val="single" w:color="auto" w:sz="4" w:space="0"/>
              <w:left w:val="single" w:color="auto" w:sz="4" w:space="0"/>
              <w:right w:val="single" w:color="auto" w:sz="4" w:space="0"/>
            </w:tcBorders>
            <w:shd w:val="clear" w:color="auto" w:fill="auto"/>
            <w:vAlign w:val="center"/>
          </w:tcPr>
          <w:p w14:paraId="58BB8405">
            <w:pPr>
              <w:widowControl/>
              <w:numPr>
                <w:ilvl w:val="0"/>
                <w:numId w:val="0"/>
              </w:numPr>
              <w:spacing w:line="120" w:lineRule="auto"/>
              <w:rPr>
                <w:rFonts w:hint="eastAsia" w:asciiTheme="majorEastAsia" w:hAnsiTheme="majorEastAsia" w:eastAsiaTheme="majorEastAsia" w:cstheme="majorEastAsia"/>
                <w:b w:val="0"/>
                <w:color w:val="000000"/>
                <w:spacing w:val="0"/>
                <w:sz w:val="16"/>
                <w:szCs w:val="16"/>
                <w:lang w:eastAsia="zh-CN"/>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取得副高级及以上水平评价类专业技术人员职业资格</w:t>
            </w:r>
            <w:r>
              <w:rPr>
                <w:rFonts w:hint="eastAsia" w:asciiTheme="majorEastAsia" w:hAnsiTheme="majorEastAsia" w:eastAsiaTheme="majorEastAsia" w:cstheme="majorEastAsia"/>
                <w:b w:val="0"/>
                <w:color w:val="000000"/>
                <w:spacing w:val="-4"/>
                <w:sz w:val="16"/>
                <w:szCs w:val="16"/>
              </w:rPr>
              <w:t>的得</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r>
              <w:rPr>
                <w:rFonts w:hint="eastAsia" w:asciiTheme="majorEastAsia" w:hAnsiTheme="majorEastAsia" w:eastAsiaTheme="majorEastAsia" w:cstheme="majorEastAsia"/>
                <w:b w:val="0"/>
                <w:color w:val="000000"/>
                <w:spacing w:val="0"/>
                <w:sz w:val="16"/>
                <w:szCs w:val="16"/>
              </w:rPr>
              <w:t>取得可对应至中级职称的专业技术人员职业资格得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分，在可按照级别划分的准入类专业技术人员职业资格中取得最高级别职业资格的得</w:t>
            </w:r>
            <w:r>
              <w:rPr>
                <w:rFonts w:hint="eastAsia" w:asciiTheme="majorEastAsia" w:hAnsiTheme="majorEastAsia" w:eastAsiaTheme="majorEastAsia" w:cstheme="majorEastAsia"/>
                <w:b w:val="0"/>
                <w:color w:val="000000"/>
                <w:spacing w:val="0"/>
                <w:sz w:val="16"/>
                <w:szCs w:val="16"/>
                <w:highlight w:val="none"/>
              </w:rPr>
              <w:t>5</w:t>
            </w:r>
            <w:r>
              <w:rPr>
                <w:rFonts w:hint="eastAsia" w:asciiTheme="majorEastAsia" w:hAnsiTheme="majorEastAsia" w:eastAsiaTheme="majorEastAsia" w:cstheme="majorEastAsia"/>
                <w:b w:val="0"/>
                <w:color w:val="000000"/>
                <w:spacing w:val="0"/>
                <w:sz w:val="16"/>
                <w:szCs w:val="16"/>
              </w:rPr>
              <w:t>分</w:t>
            </w:r>
            <w:r>
              <w:rPr>
                <w:rFonts w:hint="eastAsia" w:asciiTheme="majorEastAsia" w:hAnsiTheme="majorEastAsia" w:eastAsiaTheme="majorEastAsia" w:cstheme="majorEastAsia"/>
                <w:b w:val="0"/>
                <w:color w:val="000000"/>
                <w:spacing w:val="0"/>
                <w:sz w:val="16"/>
                <w:szCs w:val="16"/>
                <w:lang w:eastAsia="zh-CN"/>
              </w:rPr>
              <w:t>。</w:t>
            </w:r>
          </w:p>
          <w:p w14:paraId="3339D56B">
            <w:pPr>
              <w:widowControl/>
              <w:numPr>
                <w:ilvl w:val="0"/>
                <w:numId w:val="0"/>
              </w:numPr>
              <w:spacing w:line="120" w:lineRule="auto"/>
              <w:ind w:leftChars="0"/>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0"/>
                <w:sz w:val="16"/>
                <w:szCs w:val="16"/>
                <w:lang w:val="en-US" w:eastAsia="zh-CN"/>
              </w:rPr>
              <w:t>2.</w:t>
            </w:r>
            <w:r>
              <w:rPr>
                <w:rFonts w:hint="eastAsia" w:asciiTheme="majorEastAsia" w:hAnsiTheme="majorEastAsia" w:eastAsiaTheme="majorEastAsia" w:cstheme="majorEastAsia"/>
                <w:b w:val="0"/>
                <w:color w:val="000000"/>
                <w:spacing w:val="-4"/>
                <w:sz w:val="16"/>
                <w:szCs w:val="16"/>
              </w:rPr>
              <w:t>各项累加不超过</w:t>
            </w:r>
            <w:r>
              <w:rPr>
                <w:rFonts w:hint="eastAsia" w:asciiTheme="majorEastAsia" w:hAnsiTheme="majorEastAsia" w:eastAsiaTheme="majorEastAsia" w:cstheme="majorEastAsia"/>
                <w:b w:val="0"/>
                <w:color w:val="000000"/>
                <w:spacing w:val="-4"/>
                <w:sz w:val="16"/>
                <w:szCs w:val="16"/>
                <w:lang w:val="en-US" w:eastAsia="zh-CN"/>
              </w:rPr>
              <w:t>5</w:t>
            </w:r>
            <w:r>
              <w:rPr>
                <w:rFonts w:hint="eastAsia" w:asciiTheme="majorEastAsia" w:hAnsiTheme="majorEastAsia" w:eastAsiaTheme="majorEastAsia" w:cstheme="majorEastAsia"/>
                <w:b w:val="0"/>
                <w:color w:val="000000"/>
                <w:spacing w:val="-4"/>
                <w:sz w:val="16"/>
                <w:szCs w:val="16"/>
              </w:rPr>
              <w:t>分。</w:t>
            </w:r>
          </w:p>
        </w:tc>
        <w:tc>
          <w:tcPr>
            <w:tcW w:w="319" w:type="pct"/>
            <w:tcBorders>
              <w:top w:val="single" w:color="auto" w:sz="4" w:space="0"/>
              <w:left w:val="single" w:color="auto" w:sz="4" w:space="0"/>
              <w:right w:val="single" w:color="auto" w:sz="4" w:space="0"/>
            </w:tcBorders>
            <w:shd w:val="clear" w:color="auto" w:fill="auto"/>
            <w:vAlign w:val="center"/>
          </w:tcPr>
          <w:p w14:paraId="501E7A87">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rPr>
            </w:pPr>
            <w:r>
              <w:rPr>
                <w:rFonts w:hint="eastAsia" w:asciiTheme="majorEastAsia" w:hAnsiTheme="majorEastAsia" w:eastAsiaTheme="majorEastAsia" w:cstheme="majorEastAsia"/>
                <w:b w:val="0"/>
                <w:color w:val="000000"/>
                <w:spacing w:val="0"/>
                <w:sz w:val="24"/>
                <w:szCs w:val="24"/>
                <w:lang w:val="en-US" w:eastAsia="zh-CN"/>
              </w:rPr>
              <w:t>5</w:t>
            </w:r>
          </w:p>
        </w:tc>
        <w:tc>
          <w:tcPr>
            <w:tcW w:w="352" w:type="pct"/>
            <w:tcBorders>
              <w:top w:val="single" w:color="auto" w:sz="4" w:space="0"/>
              <w:left w:val="single" w:color="auto" w:sz="4" w:space="0"/>
              <w:right w:val="single" w:color="auto" w:sz="4" w:space="0"/>
            </w:tcBorders>
            <w:shd w:val="clear" w:color="auto" w:fill="auto"/>
            <w:vAlign w:val="center"/>
          </w:tcPr>
          <w:p w14:paraId="0D5DE41E">
            <w:pPr>
              <w:widowControl/>
              <w:spacing w:line="240" w:lineRule="exact"/>
              <w:jc w:val="center"/>
              <w:rPr>
                <w:rFonts w:cs="宋体"/>
                <w:b w:val="0"/>
                <w:color w:val="FF0000"/>
                <w:spacing w:val="0"/>
                <w:sz w:val="21"/>
                <w:szCs w:val="21"/>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AC12A70">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912" w:hRule="atLeast"/>
          <w:jc w:val="center"/>
        </w:trPr>
        <w:tc>
          <w:tcPr>
            <w:tcW w:w="343" w:type="pct"/>
            <w:vMerge w:val="continue"/>
            <w:tcBorders>
              <w:left w:val="single" w:color="auto" w:sz="4" w:space="0"/>
              <w:right w:val="single" w:color="auto" w:sz="4" w:space="0"/>
            </w:tcBorders>
            <w:vAlign w:val="center"/>
          </w:tcPr>
          <w:p w14:paraId="4279A252">
            <w:pPr>
              <w:widowControl/>
              <w:spacing w:line="240" w:lineRule="exact"/>
              <w:jc w:val="center"/>
              <w:rPr>
                <w:rFonts w:ascii="楷体_GB2312" w:eastAsia="楷体_GB2312" w:cs="宋体"/>
                <w:b w:val="0"/>
                <w:color w:val="000000"/>
                <w:spacing w:val="0"/>
                <w:sz w:val="24"/>
                <w:szCs w:val="24"/>
              </w:rPr>
            </w:pPr>
          </w:p>
        </w:tc>
        <w:tc>
          <w:tcPr>
            <w:tcW w:w="341" w:type="pct"/>
            <w:tcBorders>
              <w:top w:val="single" w:color="auto" w:sz="4" w:space="0"/>
              <w:left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0"/>
                <w:szCs w:val="20"/>
              </w:rPr>
              <w:t>专业技术职称</w:t>
            </w:r>
          </w:p>
        </w:tc>
        <w:tc>
          <w:tcPr>
            <w:tcW w:w="3402" w:type="pct"/>
            <w:tcBorders>
              <w:top w:val="single" w:color="auto" w:sz="4" w:space="0"/>
              <w:left w:val="single" w:color="auto" w:sz="4" w:space="0"/>
              <w:right w:val="single" w:color="auto" w:sz="4" w:space="0"/>
            </w:tcBorders>
            <w:shd w:val="clear" w:color="auto" w:fill="auto"/>
            <w:vAlign w:val="center"/>
          </w:tcPr>
          <w:p w14:paraId="2E544E17">
            <w:pPr>
              <w:widowControl/>
              <w:spacing w:line="120" w:lineRule="auto"/>
              <w:rPr>
                <w:rFonts w:hint="default" w:asciiTheme="majorEastAsia" w:hAnsiTheme="majorEastAsia" w:eastAsiaTheme="majorEastAsia" w:cstheme="majorEastAsia"/>
                <w:b w:val="0"/>
                <w:spacing w:val="-4"/>
                <w:sz w:val="18"/>
                <w:szCs w:val="18"/>
                <w:lang w:val="en-US" w:eastAsia="zh-CN"/>
              </w:rPr>
            </w:pPr>
            <w:r>
              <w:rPr>
                <w:rFonts w:hint="eastAsia" w:asciiTheme="majorEastAsia" w:hAnsiTheme="majorEastAsia" w:eastAsiaTheme="majorEastAsia" w:cstheme="majorEastAsia"/>
                <w:b w:val="0"/>
                <w:color w:val="000000"/>
                <w:spacing w:val="0"/>
                <w:sz w:val="16"/>
                <w:szCs w:val="16"/>
              </w:rPr>
              <w:t>正高级职称得5分，副高级得3分，中级得2分，初级得1分。按所取得最高级职称计算，不累加计算。</w:t>
            </w:r>
          </w:p>
        </w:tc>
        <w:tc>
          <w:tcPr>
            <w:tcW w:w="319" w:type="pct"/>
            <w:tcBorders>
              <w:top w:val="single" w:color="auto" w:sz="4" w:space="0"/>
              <w:left w:val="single" w:color="auto" w:sz="4" w:space="0"/>
              <w:right w:val="single" w:color="auto" w:sz="4" w:space="0"/>
            </w:tcBorders>
            <w:shd w:val="clear" w:color="auto" w:fill="auto"/>
            <w:vAlign w:val="center"/>
          </w:tcPr>
          <w:p w14:paraId="753FF853">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lang w:val="en-US" w:eastAsia="zh-CN"/>
              </w:rPr>
              <w:t>5</w:t>
            </w:r>
          </w:p>
        </w:tc>
        <w:tc>
          <w:tcPr>
            <w:tcW w:w="352" w:type="pct"/>
            <w:tcBorders>
              <w:top w:val="single" w:color="auto" w:sz="4" w:space="0"/>
              <w:left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746F4649">
        <w:tblPrEx>
          <w:tblCellMar>
            <w:top w:w="0" w:type="dxa"/>
            <w:left w:w="108" w:type="dxa"/>
            <w:bottom w:w="0" w:type="dxa"/>
            <w:right w:w="108" w:type="dxa"/>
          </w:tblCellMar>
        </w:tblPrEx>
        <w:trPr>
          <w:trHeight w:val="926" w:hRule="atLeast"/>
          <w:jc w:val="center"/>
        </w:trPr>
        <w:tc>
          <w:tcPr>
            <w:tcW w:w="343" w:type="pct"/>
            <w:vMerge w:val="continue"/>
            <w:tcBorders>
              <w:left w:val="single" w:color="auto" w:sz="4" w:space="0"/>
              <w:bottom w:val="single" w:color="auto" w:sz="4" w:space="0"/>
              <w:right w:val="single" w:color="auto" w:sz="4" w:space="0"/>
            </w:tcBorders>
            <w:vAlign w:val="center"/>
          </w:tcPr>
          <w:p w14:paraId="1D2A67F7">
            <w:pPr>
              <w:widowControl/>
              <w:spacing w:line="240" w:lineRule="exact"/>
              <w:jc w:val="center"/>
              <w:rPr>
                <w:rFonts w:ascii="楷体_GB2312" w:eastAsia="楷体_GB2312" w:cs="宋体"/>
                <w:b w:val="0"/>
                <w:color w:val="000000"/>
                <w:spacing w:val="0"/>
                <w:sz w:val="24"/>
                <w:szCs w:val="24"/>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7F669EF4">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0"/>
                <w:szCs w:val="20"/>
              </w:rPr>
              <w:t>获得奖项</w:t>
            </w:r>
          </w:p>
        </w:tc>
        <w:tc>
          <w:tcPr>
            <w:tcW w:w="3402" w:type="pct"/>
            <w:tcBorders>
              <w:top w:val="single" w:color="auto" w:sz="4" w:space="0"/>
              <w:left w:val="single" w:color="auto" w:sz="4" w:space="0"/>
              <w:bottom w:val="single" w:color="auto" w:sz="4" w:space="0"/>
              <w:right w:val="single" w:color="auto" w:sz="4" w:space="0"/>
            </w:tcBorders>
            <w:shd w:val="clear" w:color="auto" w:fill="auto"/>
            <w:vAlign w:val="center"/>
          </w:tcPr>
          <w:p w14:paraId="0DB18D1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color w:val="000000"/>
                <w:spacing w:val="0"/>
                <w:sz w:val="16"/>
                <w:szCs w:val="16"/>
              </w:rPr>
            </w:pP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获得国家级荣誉者每项得</w:t>
            </w:r>
            <w:r>
              <w:rPr>
                <w:rFonts w:hint="eastAsia" w:asciiTheme="majorEastAsia" w:hAnsiTheme="majorEastAsia" w:eastAsiaTheme="majorEastAsia" w:cstheme="majorEastAsia"/>
                <w:b w:val="0"/>
                <w:color w:val="000000"/>
                <w:spacing w:val="0"/>
                <w:sz w:val="16"/>
                <w:szCs w:val="16"/>
                <w:lang w:val="en-US" w:eastAsia="zh-CN"/>
              </w:rPr>
              <w:t>5</w:t>
            </w:r>
            <w:r>
              <w:rPr>
                <w:rFonts w:hint="eastAsia" w:asciiTheme="majorEastAsia" w:hAnsiTheme="majorEastAsia" w:eastAsiaTheme="majorEastAsia" w:cstheme="majorEastAsia"/>
                <w:b w:val="0"/>
                <w:color w:val="000000"/>
                <w:spacing w:val="0"/>
                <w:sz w:val="16"/>
                <w:szCs w:val="16"/>
              </w:rPr>
              <w:t>分；获得国家部委和省级荣誉者每项得</w:t>
            </w:r>
            <w:r>
              <w:rPr>
                <w:rFonts w:hint="eastAsia" w:asciiTheme="majorEastAsia" w:hAnsiTheme="majorEastAsia" w:eastAsiaTheme="majorEastAsia" w:cstheme="majorEastAsia"/>
                <w:b w:val="0"/>
                <w:color w:val="000000"/>
                <w:spacing w:val="0"/>
                <w:sz w:val="16"/>
                <w:szCs w:val="16"/>
                <w:lang w:val="en-US" w:eastAsia="zh-CN"/>
              </w:rPr>
              <w:t>3</w:t>
            </w:r>
            <w:r>
              <w:rPr>
                <w:rFonts w:hint="eastAsia" w:asciiTheme="majorEastAsia" w:hAnsiTheme="majorEastAsia" w:eastAsiaTheme="majorEastAsia" w:cstheme="majorEastAsia"/>
                <w:b w:val="0"/>
                <w:color w:val="000000"/>
                <w:spacing w:val="0"/>
                <w:sz w:val="16"/>
                <w:szCs w:val="16"/>
              </w:rPr>
              <w:t>分；获得市级荣誉者每项得</w:t>
            </w:r>
            <w:r>
              <w:rPr>
                <w:rFonts w:hint="eastAsia" w:asciiTheme="majorEastAsia" w:hAnsiTheme="majorEastAsia" w:eastAsiaTheme="majorEastAsia" w:cstheme="majorEastAsia"/>
                <w:b w:val="0"/>
                <w:color w:val="000000"/>
                <w:spacing w:val="0"/>
                <w:sz w:val="16"/>
                <w:szCs w:val="16"/>
                <w:lang w:val="en-US" w:eastAsia="zh-CN"/>
              </w:rPr>
              <w:t>1</w:t>
            </w:r>
            <w:r>
              <w:rPr>
                <w:rFonts w:hint="eastAsia" w:asciiTheme="majorEastAsia" w:hAnsiTheme="majorEastAsia" w:eastAsiaTheme="majorEastAsia" w:cstheme="majorEastAsia"/>
                <w:b w:val="0"/>
                <w:color w:val="000000"/>
                <w:spacing w:val="0"/>
                <w:sz w:val="16"/>
                <w:szCs w:val="16"/>
              </w:rPr>
              <w:t>分。</w:t>
            </w:r>
          </w:p>
          <w:p w14:paraId="7CB9397F">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000000"/>
                <w:spacing w:val="0"/>
                <w:sz w:val="18"/>
                <w:szCs w:val="18"/>
              </w:rPr>
            </w:pPr>
            <w:r>
              <w:rPr>
                <w:rFonts w:hint="eastAsia" w:asciiTheme="majorEastAsia" w:hAnsiTheme="majorEastAsia" w:eastAsiaTheme="majorEastAsia" w:cstheme="majorEastAsia"/>
                <w:b w:val="0"/>
                <w:color w:val="000000"/>
                <w:spacing w:val="0"/>
                <w:sz w:val="16"/>
                <w:szCs w:val="16"/>
                <w:lang w:val="en-US" w:eastAsia="zh-CN"/>
              </w:rPr>
              <w:t>2.</w:t>
            </w:r>
            <w:r>
              <w:rPr>
                <w:rFonts w:hint="eastAsia" w:asciiTheme="majorEastAsia" w:hAnsiTheme="majorEastAsia" w:eastAsiaTheme="majorEastAsia" w:cstheme="majorEastAsia"/>
                <w:b w:val="0"/>
                <w:color w:val="000000"/>
                <w:spacing w:val="0"/>
                <w:sz w:val="16"/>
                <w:szCs w:val="16"/>
              </w:rPr>
              <w:t>各项累加不超过</w:t>
            </w:r>
            <w:r>
              <w:rPr>
                <w:rFonts w:hint="eastAsia" w:asciiTheme="majorEastAsia" w:hAnsiTheme="majorEastAsia" w:eastAsiaTheme="majorEastAsia" w:cstheme="majorEastAsia"/>
                <w:b w:val="0"/>
                <w:color w:val="000000"/>
                <w:spacing w:val="0"/>
                <w:sz w:val="16"/>
                <w:szCs w:val="16"/>
                <w:lang w:val="en-US" w:eastAsia="zh-CN"/>
              </w:rPr>
              <w:t>5</w:t>
            </w:r>
            <w:r>
              <w:rPr>
                <w:rFonts w:hint="eastAsia" w:asciiTheme="majorEastAsia" w:hAnsiTheme="majorEastAsia" w:eastAsiaTheme="majorEastAsia" w:cstheme="majorEastAsia"/>
                <w:b w:val="0"/>
                <w:color w:val="000000"/>
                <w:spacing w:val="0"/>
                <w:sz w:val="16"/>
                <w:szCs w:val="16"/>
              </w:rPr>
              <w:t>分。</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2DBEA70">
            <w:pPr>
              <w:widowControl/>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5</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01A0BB42">
            <w:pPr>
              <w:widowControl/>
              <w:spacing w:line="240" w:lineRule="exact"/>
              <w:jc w:val="center"/>
              <w:rPr>
                <w:rFonts w:cs="宋体"/>
                <w:b w:val="0"/>
                <w:color w:val="FF0000"/>
                <w:spacing w:val="0"/>
                <w:sz w:val="21"/>
                <w:szCs w:val="21"/>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6C677822">
            <w:pPr>
              <w:widowControl/>
              <w:spacing w:line="240" w:lineRule="exact"/>
              <w:jc w:val="center"/>
              <w:rPr>
                <w:rFonts w:cs="宋体"/>
                <w:b w:val="0"/>
                <w:color w:val="FF0000"/>
                <w:spacing w:val="0"/>
                <w:sz w:val="21"/>
                <w:szCs w:val="21"/>
              </w:rPr>
            </w:pPr>
          </w:p>
        </w:tc>
      </w:tr>
    </w:tbl>
    <w:p w14:paraId="08136C31">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1"/>
          <w:szCs w:val="21"/>
        </w:rPr>
      </w:pPr>
      <w:r>
        <w:rPr>
          <w:rFonts w:hint="eastAsia" w:ascii="仿宋" w:hAnsi="仿宋" w:eastAsia="仿宋" w:cs="仿宋"/>
          <w:b/>
          <w:bCs/>
          <w:sz w:val="21"/>
          <w:szCs w:val="21"/>
        </w:rPr>
        <w:t>考生承诺:</w:t>
      </w:r>
    </w:p>
    <w:p w14:paraId="33E23DA9">
      <w:pPr>
        <w:keepNext w:val="0"/>
        <w:keepLines w:val="0"/>
        <w:pageBreakBefore w:val="0"/>
        <w:kinsoku/>
        <w:wordWrap/>
        <w:overflowPunct/>
        <w:topLinePunct w:val="0"/>
        <w:autoSpaceDE/>
        <w:autoSpaceDN/>
        <w:bidi w:val="0"/>
        <w:adjustRightInd/>
        <w:snapToGrid/>
        <w:spacing w:line="260" w:lineRule="exact"/>
        <w:ind w:firstLine="340"/>
        <w:textAlignment w:val="auto"/>
        <w:rPr>
          <w:rFonts w:hint="eastAsia" w:ascii="仿宋" w:hAnsi="仿宋" w:eastAsia="仿宋" w:cs="仿宋"/>
          <w:b/>
          <w:bCs/>
          <w:sz w:val="21"/>
          <w:szCs w:val="21"/>
        </w:rPr>
      </w:pPr>
      <w:r>
        <w:rPr>
          <w:rFonts w:hint="eastAsia" w:ascii="仿宋" w:hAnsi="仿宋" w:eastAsia="仿宋" w:cs="仿宋"/>
          <w:b/>
          <w:bCs/>
          <w:sz w:val="21"/>
          <w:szCs w:val="21"/>
        </w:rPr>
        <w:t>本表所填写的信息应真实准确无误，提交的证书、证件和照片</w:t>
      </w:r>
      <w:r>
        <w:rPr>
          <w:rFonts w:hint="eastAsia" w:ascii="仿宋" w:hAnsi="仿宋" w:eastAsia="仿宋" w:cs="仿宋"/>
          <w:b/>
          <w:bCs/>
          <w:sz w:val="21"/>
          <w:szCs w:val="21"/>
          <w:lang w:eastAsia="zh-CN"/>
        </w:rPr>
        <w:t>及相关佐证材料</w:t>
      </w:r>
      <w:r>
        <w:rPr>
          <w:rFonts w:hint="eastAsia" w:ascii="仿宋" w:hAnsi="仿宋" w:eastAsia="仿宋" w:cs="仿宋"/>
          <w:b/>
          <w:bCs/>
          <w:sz w:val="21"/>
          <w:szCs w:val="21"/>
        </w:rPr>
        <w:t>真实有效，无隐瞒、虚假等行为；若有一项虚假的，人才评价按0分计算。本人愿承担一切责任。</w:t>
      </w:r>
    </w:p>
    <w:p w14:paraId="7632980D">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_GB2312"/>
          <w:b/>
          <w:bCs/>
          <w:sz w:val="21"/>
          <w:szCs w:val="21"/>
          <w:lang w:eastAsia="zh-CN"/>
        </w:rPr>
      </w:pPr>
    </w:p>
    <w:p w14:paraId="5FFA621B">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身份证号码：</w:t>
      </w:r>
      <w:r>
        <w:rPr>
          <w:rFonts w:hint="eastAsia" w:ascii="仿宋" w:hAnsi="仿宋" w:eastAsia="仿宋" w:cs="仿宋"/>
          <w:b/>
          <w:bCs/>
          <w:sz w:val="21"/>
          <w:szCs w:val="21"/>
          <w:lang w:val="en-US" w:eastAsia="zh-CN"/>
        </w:rPr>
        <w:t xml:space="preserve">                                      本人签字：                                   年    月    日</w:t>
      </w:r>
    </w:p>
    <w:p w14:paraId="254D12C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p w14:paraId="6D0C6A0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r>
        <w:rPr>
          <w:rFonts w:hint="eastAsia" w:ascii="仿宋_GB2312" w:eastAsia="仿宋_GB2312"/>
          <w:b/>
          <w:bCs/>
          <w:sz w:val="21"/>
          <w:szCs w:val="21"/>
          <w:lang w:val="en-US" w:eastAsia="zh-CN"/>
        </w:rPr>
        <w:t>审核人签字：</w:t>
      </w:r>
    </w:p>
    <w:p w14:paraId="50F54AC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p w14:paraId="20F477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黑体" w:eastAsia="方正小标宋简体"/>
          <w:b w:val="0"/>
          <w:bCs/>
          <w:sz w:val="44"/>
          <w:szCs w:val="44"/>
        </w:rPr>
      </w:pPr>
      <w:r>
        <w:rPr>
          <w:rFonts w:hint="eastAsia" w:ascii="方正小标宋简体" w:hAnsi="黑体" w:eastAsia="方正小标宋简体"/>
          <w:b w:val="0"/>
          <w:bCs/>
          <w:sz w:val="44"/>
          <w:szCs w:val="44"/>
          <w:lang w:val="en-US" w:eastAsia="zh-CN"/>
        </w:rPr>
        <w:t>奈曼旗</w:t>
      </w:r>
      <w:r>
        <w:rPr>
          <w:rFonts w:hint="eastAsia" w:ascii="方正小标宋简体" w:hAnsi="黑体" w:eastAsia="方正小标宋简体"/>
          <w:b w:val="0"/>
          <w:bCs/>
          <w:sz w:val="44"/>
          <w:szCs w:val="44"/>
          <w:lang w:eastAsia="zh-CN"/>
        </w:rPr>
        <w:t>事业单位</w:t>
      </w:r>
      <w:r>
        <w:rPr>
          <w:rFonts w:hint="eastAsia" w:ascii="方正小标宋简体" w:hAnsi="黑体" w:eastAsia="方正小标宋简体"/>
          <w:b w:val="0"/>
          <w:bCs/>
          <w:sz w:val="44"/>
          <w:szCs w:val="44"/>
        </w:rPr>
        <w:t>人才引进</w:t>
      </w:r>
    </w:p>
    <w:p w14:paraId="397CE5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hAnsi="黑体" w:eastAsia="方正小标宋简体"/>
          <w:b w:val="0"/>
          <w:bCs/>
          <w:sz w:val="44"/>
          <w:szCs w:val="44"/>
        </w:rPr>
      </w:pPr>
      <w:r>
        <w:rPr>
          <w:rFonts w:hint="eastAsia" w:ascii="方正小标宋简体" w:hAnsi="黑体" w:eastAsia="方正小标宋简体"/>
          <w:b w:val="0"/>
          <w:bCs/>
          <w:sz w:val="44"/>
          <w:szCs w:val="44"/>
        </w:rPr>
        <w:t>评价表填报说明</w:t>
      </w:r>
    </w:p>
    <w:p w14:paraId="54FD0FC0">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p>
    <w:p w14:paraId="528A4A8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黑体" w:hAnsi="黑体" w:eastAsia="黑体" w:cs="黑体"/>
          <w:b w:val="0"/>
          <w:bCs/>
          <w:sz w:val="32"/>
          <w:szCs w:val="32"/>
        </w:rPr>
        <w:t>一、专业层次方面</w:t>
      </w:r>
    </w:p>
    <w:p w14:paraId="44A160D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（一）A类、B类高校和一流学科目录，以《教育部、财政部、国家发展改革委关于公布世界一流大学和一流学科建设高校及建设学科名单的通知》（教研函〔2017〕2号）《教育部、财</w:t>
      </w:r>
      <w:bookmarkStart w:id="0" w:name="_GoBack"/>
      <w:bookmarkEnd w:id="0"/>
      <w:r>
        <w:rPr>
          <w:rFonts w:hint="eastAsia" w:ascii="Times New Roman" w:hAnsi="Times New Roman" w:eastAsia="仿宋" w:cs="Times New Roman"/>
          <w:b w:val="0"/>
          <w:bCs/>
          <w:sz w:val="32"/>
          <w:szCs w:val="32"/>
        </w:rPr>
        <w:t>政部、国家发展改革委关于公布第二轮“双一流”建设高校及建设学科名单的通知》（教研函〔2022〕1号）为准。</w:t>
      </w:r>
    </w:p>
    <w:p w14:paraId="173CC205">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（二）在一流学科认定上，所学专业须属该学科内专业。</w:t>
      </w:r>
    </w:p>
    <w:p w14:paraId="2F45FAB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（三）海外学历学校排名以2024年、2025年度世界综合排名（QS世界大学排名、泰晤士高等教育世界大学排名、《美国新闻与世界报道》世界大学排名、软科世界大学学术排名之一）前300名为准。</w:t>
      </w:r>
    </w:p>
    <w:p w14:paraId="4F966D3C">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（四）硕士研究生需完整填报本科阶段和硕士研究生阶段赋分。</w:t>
      </w:r>
    </w:p>
    <w:p w14:paraId="5DF85A07">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黑体" w:hAnsi="黑体" w:eastAsia="黑体" w:cs="黑体"/>
          <w:b w:val="0"/>
          <w:bCs/>
          <w:sz w:val="32"/>
          <w:szCs w:val="32"/>
        </w:rPr>
        <w:t>二、科研成果方面</w:t>
      </w:r>
    </w:p>
    <w:p w14:paraId="010FFB4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论文需提供检索页、扫描文本、文献检索报告等材料；发明专利需提供作品文件、专利证书等材料。实用新型、外观设计专利不得分。</w:t>
      </w:r>
    </w:p>
    <w:p w14:paraId="5E6F82C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三、职业资格方面</w:t>
      </w:r>
    </w:p>
    <w:p w14:paraId="77CFE7F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（一）需提供职业资格证原件及复印件，并可在职业技能证书全国联网查询系统中查询。</w:t>
      </w:r>
    </w:p>
    <w:p w14:paraId="16AB3CE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（二）可按照级别划分的准入类专业技术人员职业资格，如：取得法律职业资格A证得5分。</w:t>
      </w:r>
    </w:p>
    <w:p w14:paraId="1C3C7957">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6FF397A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6EEEBFF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14:paraId="1B82DAA2">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（一）要求为社会化专业技术职称。</w:t>
      </w:r>
    </w:p>
    <w:p w14:paraId="0D950D3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Times New Roman" w:hAnsi="Times New Roman" w:eastAsia="仿宋" w:cs="Times New Roman"/>
          <w:b w:val="0"/>
          <w:bCs/>
          <w:sz w:val="32"/>
          <w:szCs w:val="32"/>
        </w:rPr>
        <w:t>（二）需提供职称证，并可在相应查询系统中查询。</w:t>
      </w:r>
    </w:p>
    <w:p w14:paraId="5FB1DB5C">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五、获得奖项方面</w:t>
      </w:r>
    </w:p>
    <w:p w14:paraId="5617A75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E97452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（二）学校授予的荣誉不计算得分</w:t>
      </w:r>
      <w:r>
        <w:rPr>
          <w:rFonts w:hint="eastAsia" w:ascii="Times New Roman" w:hAnsi="Times New Roman" w:eastAsia="仿宋" w:cs="Times New Roman"/>
          <w:b w:val="0"/>
          <w:bCs/>
          <w:sz w:val="32"/>
          <w:szCs w:val="32"/>
        </w:rPr>
        <w:t>，在校期间获得的各类奖学金不计算得分。</w:t>
      </w:r>
    </w:p>
    <w:p w14:paraId="75C5282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（三）各类协会、社会组织、组委会发放证书的不加分。</w:t>
      </w:r>
    </w:p>
    <w:p w14:paraId="463EB2D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w:t>
      </w:r>
    </w:p>
    <w:p w14:paraId="2BF5B0C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1.特殊人才: SCI、SSCI一区检索超过2篇（含）、二区检索超过3篇（含）、三区检索超过5篇（含）者，人才评价按满分计算（100分），须为第一作者，不含并列第一作者。</w:t>
      </w:r>
    </w:p>
    <w:p w14:paraId="70DA6D7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2.获得国家级荣誉3项（含）以上者，人才评价按满分计算（100分）。</w:t>
      </w:r>
    </w:p>
    <w:p w14:paraId="12D4275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3.符合条件的博士研究生报名直接进入体检、考察环节。</w:t>
      </w:r>
    </w:p>
    <w:p w14:paraId="42F4824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val="en-US" w:eastAsia="zh-CN"/>
        </w:rPr>
      </w:pP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6BFDA5-8A65-43EC-A6B0-0ACA0181E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3B799A5F-5E1E-43A4-A75D-2B13874BDED7}"/>
  </w:font>
  <w:font w:name="楷体_GB2312">
    <w:panose1 w:val="02010609030101010101"/>
    <w:charset w:val="86"/>
    <w:family w:val="modern"/>
    <w:pitch w:val="default"/>
    <w:sig w:usb0="00000001" w:usb1="080E0000" w:usb2="00000000" w:usb3="00000000" w:csb0="00040000" w:csb1="00000000"/>
    <w:embedRegular r:id="rId3" w:fontKey="{2B940198-06D9-427B-B9AA-AB955858CC08}"/>
  </w:font>
  <w:font w:name="楷体">
    <w:panose1 w:val="02010609060101010101"/>
    <w:charset w:val="86"/>
    <w:family w:val="modern"/>
    <w:pitch w:val="default"/>
    <w:sig w:usb0="800002BF" w:usb1="38CF7CFA" w:usb2="00000016" w:usb3="00000000" w:csb0="00040001" w:csb1="00000000"/>
    <w:embedRegular r:id="rId4" w:fontKey="{D734B95B-20EF-4912-8FFF-EC2D9DA65790}"/>
  </w:font>
  <w:font w:name="仿宋">
    <w:panose1 w:val="02010609060101010101"/>
    <w:charset w:val="86"/>
    <w:family w:val="auto"/>
    <w:pitch w:val="default"/>
    <w:sig w:usb0="800002BF" w:usb1="38CF7CFA" w:usb2="00000016" w:usb3="00000000" w:csb0="00040001" w:csb1="00000000"/>
    <w:embedRegular r:id="rId5" w:fontKey="{94BDBE28-B3A2-40BB-9F84-C125AB89D0E0}"/>
  </w:font>
  <w:font w:name="仿宋_GB2312">
    <w:panose1 w:val="02010609030101010101"/>
    <w:charset w:val="86"/>
    <w:family w:val="modern"/>
    <w:pitch w:val="default"/>
    <w:sig w:usb0="00000001" w:usb1="080E0000" w:usb2="00000000" w:usb3="00000000" w:csb0="00040000" w:csb1="00000000"/>
    <w:embedRegular r:id="rId6" w:fontKey="{3CBC5F2D-BEA0-408E-8C71-6E11F3439109}"/>
  </w:font>
  <w:font w:name="方正仿宋_GB2312">
    <w:panose1 w:val="02000000000000000000"/>
    <w:charset w:val="86"/>
    <w:family w:val="auto"/>
    <w:pitch w:val="default"/>
    <w:sig w:usb0="A00002BF" w:usb1="184F6CFA" w:usb2="00000012" w:usb3="00000000" w:csb0="00040001" w:csb1="00000000"/>
  </w:font>
  <w:font w:name="方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中雅宋_GBK">
    <w:panose1 w:val="02000000000000000000"/>
    <w:charset w:val="86"/>
    <w:family w:val="auto"/>
    <w:pitch w:val="default"/>
    <w:sig w:usb0="00000000" w:usb1="08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TU5YWQ5NmMwNDQ1NmYzY2VhMzc3NjMxNWI2YTcifQ=="/>
  </w:docVars>
  <w:rsids>
    <w:rsidRoot w:val="464025A8"/>
    <w:rsid w:val="003357D8"/>
    <w:rsid w:val="036C46DD"/>
    <w:rsid w:val="03FB660C"/>
    <w:rsid w:val="05883BCA"/>
    <w:rsid w:val="077C0992"/>
    <w:rsid w:val="07DF5D77"/>
    <w:rsid w:val="08AF4730"/>
    <w:rsid w:val="08F5187C"/>
    <w:rsid w:val="0913264A"/>
    <w:rsid w:val="092B6B72"/>
    <w:rsid w:val="0B57681E"/>
    <w:rsid w:val="0BDA11FD"/>
    <w:rsid w:val="0C353F27"/>
    <w:rsid w:val="0C637E48"/>
    <w:rsid w:val="0E902987"/>
    <w:rsid w:val="12157C38"/>
    <w:rsid w:val="12397985"/>
    <w:rsid w:val="126A28E6"/>
    <w:rsid w:val="128F377D"/>
    <w:rsid w:val="13061872"/>
    <w:rsid w:val="148461AA"/>
    <w:rsid w:val="16675E44"/>
    <w:rsid w:val="180E0AE8"/>
    <w:rsid w:val="185B7685"/>
    <w:rsid w:val="18A961DF"/>
    <w:rsid w:val="1A3472F1"/>
    <w:rsid w:val="1A4D0F27"/>
    <w:rsid w:val="1A8C739D"/>
    <w:rsid w:val="1B267098"/>
    <w:rsid w:val="1C641230"/>
    <w:rsid w:val="1E103821"/>
    <w:rsid w:val="1FDF3FD0"/>
    <w:rsid w:val="204131A1"/>
    <w:rsid w:val="20B804FA"/>
    <w:rsid w:val="21ED1832"/>
    <w:rsid w:val="22DF1DC6"/>
    <w:rsid w:val="24636B05"/>
    <w:rsid w:val="26467763"/>
    <w:rsid w:val="27AE3812"/>
    <w:rsid w:val="28E120D3"/>
    <w:rsid w:val="2A397F0C"/>
    <w:rsid w:val="2AFE2018"/>
    <w:rsid w:val="2B342280"/>
    <w:rsid w:val="2BD60F07"/>
    <w:rsid w:val="2D8C63A3"/>
    <w:rsid w:val="305D68FB"/>
    <w:rsid w:val="31393666"/>
    <w:rsid w:val="3340656A"/>
    <w:rsid w:val="33B7010D"/>
    <w:rsid w:val="3538296D"/>
    <w:rsid w:val="35643762"/>
    <w:rsid w:val="35EF5721"/>
    <w:rsid w:val="36211653"/>
    <w:rsid w:val="36AC716F"/>
    <w:rsid w:val="36CF7301"/>
    <w:rsid w:val="372129BA"/>
    <w:rsid w:val="395B509B"/>
    <w:rsid w:val="3ACF5B21"/>
    <w:rsid w:val="3B7F30A4"/>
    <w:rsid w:val="3CAE211E"/>
    <w:rsid w:val="3CE15365"/>
    <w:rsid w:val="3E622809"/>
    <w:rsid w:val="41EA4FEF"/>
    <w:rsid w:val="42081788"/>
    <w:rsid w:val="45D67D64"/>
    <w:rsid w:val="45EE1552"/>
    <w:rsid w:val="464025A8"/>
    <w:rsid w:val="466A5972"/>
    <w:rsid w:val="46D33015"/>
    <w:rsid w:val="47C05C47"/>
    <w:rsid w:val="47F57AAC"/>
    <w:rsid w:val="499D44A3"/>
    <w:rsid w:val="49E8254F"/>
    <w:rsid w:val="4AB54B17"/>
    <w:rsid w:val="4AF45637"/>
    <w:rsid w:val="4CA801AB"/>
    <w:rsid w:val="4E16224E"/>
    <w:rsid w:val="4E437F61"/>
    <w:rsid w:val="4E881E17"/>
    <w:rsid w:val="4FC275AB"/>
    <w:rsid w:val="4FFA0AF3"/>
    <w:rsid w:val="517D19DC"/>
    <w:rsid w:val="54F47C8D"/>
    <w:rsid w:val="54FF095A"/>
    <w:rsid w:val="565F7902"/>
    <w:rsid w:val="57BD2205"/>
    <w:rsid w:val="5809221B"/>
    <w:rsid w:val="584A3D01"/>
    <w:rsid w:val="59875AED"/>
    <w:rsid w:val="59D61361"/>
    <w:rsid w:val="5A960771"/>
    <w:rsid w:val="5B6426C5"/>
    <w:rsid w:val="5CC46711"/>
    <w:rsid w:val="5CED3EB9"/>
    <w:rsid w:val="5D1C1DBA"/>
    <w:rsid w:val="5E421FE3"/>
    <w:rsid w:val="5E9A1E1F"/>
    <w:rsid w:val="5ED85CC4"/>
    <w:rsid w:val="5EDAEB65"/>
    <w:rsid w:val="5F761860"/>
    <w:rsid w:val="60480E48"/>
    <w:rsid w:val="613C540F"/>
    <w:rsid w:val="61A07C32"/>
    <w:rsid w:val="61F26C21"/>
    <w:rsid w:val="622B2AF0"/>
    <w:rsid w:val="635A7DCF"/>
    <w:rsid w:val="639530AB"/>
    <w:rsid w:val="64A05CB5"/>
    <w:rsid w:val="652C12F7"/>
    <w:rsid w:val="65E8460B"/>
    <w:rsid w:val="68DD68DF"/>
    <w:rsid w:val="6942558D"/>
    <w:rsid w:val="69BD6B97"/>
    <w:rsid w:val="6E865F1C"/>
    <w:rsid w:val="6EAC488C"/>
    <w:rsid w:val="6EBC193D"/>
    <w:rsid w:val="6F235519"/>
    <w:rsid w:val="6F9B1553"/>
    <w:rsid w:val="705D5574"/>
    <w:rsid w:val="719F5042"/>
    <w:rsid w:val="73BC6D60"/>
    <w:rsid w:val="76375D4D"/>
    <w:rsid w:val="766237BF"/>
    <w:rsid w:val="77AF64E3"/>
    <w:rsid w:val="78542BE7"/>
    <w:rsid w:val="786C1451"/>
    <w:rsid w:val="78D855C6"/>
    <w:rsid w:val="79500AB3"/>
    <w:rsid w:val="7A0B3779"/>
    <w:rsid w:val="7E727A8B"/>
    <w:rsid w:val="7F1C3D32"/>
    <w:rsid w:val="7FCA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2501</Words>
  <Characters>2637</Characters>
  <Lines>0</Lines>
  <Paragraphs>0</Paragraphs>
  <TotalTime>0</TotalTime>
  <ScaleCrop>false</ScaleCrop>
  <LinksUpToDate>false</LinksUpToDate>
  <CharactersWithSpaces>2784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念</cp:lastModifiedBy>
  <cp:lastPrinted>2025-07-09T08:39:00Z</cp:lastPrinted>
  <dcterms:modified xsi:type="dcterms:W3CDTF">2026-05-21T11:35:08Z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4269E02FDA0F47B0A42BE51110A1B9D2_13</vt:lpwstr>
  </property>
  <property fmtid="{D5CDD505-2E9C-101B-9397-08002B2CF9AE}" pid="4" name="KSOTemplateDocerSaveRecord">
    <vt:lpwstr>eyJoZGlkIjoiYmMzYzNkZjU0YjUwZDg0NGI4OTFmYzYxNTI5MmZiMmIiLCJ1c2VySWQiOiIyNjQ0MDYxMzIifQ==</vt:lpwstr>
  </property>
</Properties>
</file>