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jc w:val="left"/>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7-4</w:t>
      </w:r>
    </w:p>
    <w:p w14:paraId="5A922841">
      <w:pPr>
        <w:jc w:val="center"/>
        <w:rPr>
          <w:rFonts w:hint="eastAsia" w:ascii="方正小标宋简体" w:hAnsi="黑体" w:eastAsia="方正小标宋简体"/>
          <w:b w:val="0"/>
          <w:bCs w:val="0"/>
          <w:spacing w:val="0"/>
          <w:sz w:val="36"/>
          <w:szCs w:val="36"/>
          <w:lang w:val="en-US" w:eastAsia="zh-CN"/>
        </w:rPr>
      </w:pPr>
      <w:r>
        <w:rPr>
          <w:rFonts w:hint="eastAsia" w:ascii="方正小标宋简体" w:hAnsi="黑体" w:eastAsia="方正小标宋简体"/>
          <w:b w:val="0"/>
          <w:bCs w:val="0"/>
          <w:spacing w:val="0"/>
          <w:sz w:val="36"/>
          <w:szCs w:val="36"/>
          <w:lang w:val="en-US" w:eastAsia="zh-CN"/>
        </w:rPr>
        <w:t>奈曼旗事业单位2026年第二批次人才引进人才评价表（教育岗位）</w:t>
      </w:r>
    </w:p>
    <w:p w14:paraId="411E0D76">
      <w:pPr>
        <w:jc w:val="both"/>
        <w:rPr>
          <w:rFonts w:hint="eastAsia" w:ascii="黑体" w:hAnsi="黑体" w:eastAsia="黑体" w:cs="黑体"/>
          <w:b w:val="0"/>
          <w:sz w:val="36"/>
          <w:szCs w:val="36"/>
        </w:rPr>
      </w:pPr>
      <w:r>
        <w:rPr>
          <w:rFonts w:hint="eastAsia" w:ascii="黑体" w:hAnsi="黑体" w:eastAsia="黑体" w:cs="黑体"/>
          <w:b w:val="0"/>
          <w:sz w:val="24"/>
          <w:szCs w:val="24"/>
          <w:lang w:eastAsia="zh-CN"/>
        </w:rPr>
        <w:t>报考单位：</w:t>
      </w:r>
      <w:r>
        <w:rPr>
          <w:rFonts w:hint="eastAsia" w:ascii="黑体" w:hAnsi="黑体" w:eastAsia="黑体" w:cs="黑体"/>
          <w:b w:val="0"/>
          <w:sz w:val="24"/>
          <w:szCs w:val="24"/>
          <w:u w:val="single"/>
          <w:lang w:val="en-US" w:eastAsia="zh-CN"/>
        </w:rPr>
        <w:t xml:space="preserve">               </w:t>
      </w:r>
      <w:r>
        <w:rPr>
          <w:rFonts w:hint="eastAsia" w:ascii="黑体" w:hAnsi="黑体" w:eastAsia="黑体" w:cs="黑体"/>
          <w:b w:val="0"/>
          <w:sz w:val="24"/>
          <w:szCs w:val="24"/>
          <w:u w:val="none"/>
          <w:lang w:val="en-US" w:eastAsia="zh-CN"/>
        </w:rPr>
        <w:t xml:space="preserve"> 报考岗位：</w:t>
      </w:r>
      <w:r>
        <w:rPr>
          <w:rFonts w:hint="eastAsia" w:ascii="黑体" w:hAnsi="黑体" w:eastAsia="黑体" w:cs="黑体"/>
          <w:b w:val="0"/>
          <w:sz w:val="24"/>
          <w:szCs w:val="24"/>
          <w:u w:val="single"/>
          <w:lang w:val="en-US" w:eastAsia="zh-CN"/>
        </w:rPr>
        <w:t xml:space="preserve">              </w:t>
      </w:r>
      <w:r>
        <w:rPr>
          <w:rFonts w:hint="eastAsia" w:ascii="黑体" w:hAnsi="黑体" w:eastAsia="黑体" w:cs="黑体"/>
          <w:b w:val="0"/>
          <w:sz w:val="24"/>
          <w:szCs w:val="24"/>
          <w:u w:val="none"/>
          <w:lang w:val="en-US" w:eastAsia="zh-CN"/>
        </w:rPr>
        <w:t xml:space="preserve">   </w:t>
      </w:r>
      <w:r>
        <w:rPr>
          <w:rFonts w:hint="eastAsia" w:ascii="黑体" w:hAnsi="黑体" w:eastAsia="黑体" w:cs="黑体"/>
          <w:b w:val="0"/>
          <w:sz w:val="24"/>
          <w:szCs w:val="24"/>
          <w:lang w:val="en-US" w:eastAsia="zh-CN"/>
        </w:rPr>
        <w:t>自评得分：</w:t>
      </w:r>
      <w:r>
        <w:rPr>
          <w:rFonts w:hint="eastAsia" w:ascii="黑体" w:hAnsi="黑体" w:eastAsia="黑体" w:cs="黑体"/>
          <w:b w:val="0"/>
          <w:sz w:val="24"/>
          <w:szCs w:val="24"/>
          <w:u w:val="single"/>
          <w:lang w:val="en-US" w:eastAsia="zh-CN"/>
        </w:rPr>
        <w:t xml:space="preserve">          </w:t>
      </w:r>
      <w:r>
        <w:rPr>
          <w:rFonts w:hint="eastAsia" w:ascii="黑体" w:hAnsi="黑体" w:eastAsia="黑体" w:cs="黑体"/>
          <w:b w:val="0"/>
          <w:sz w:val="24"/>
          <w:szCs w:val="24"/>
          <w:u w:val="none"/>
          <w:lang w:val="en-US" w:eastAsia="zh-CN"/>
        </w:rPr>
        <w:t xml:space="preserve">  </w:t>
      </w:r>
      <w:r>
        <w:rPr>
          <w:rFonts w:hint="eastAsia" w:ascii="黑体" w:hAnsi="黑体" w:eastAsia="黑体" w:cs="黑体"/>
          <w:b w:val="0"/>
          <w:sz w:val="24"/>
          <w:szCs w:val="24"/>
          <w:lang w:val="en-US" w:eastAsia="zh-CN"/>
        </w:rPr>
        <w:t xml:space="preserve">复核得分： </w:t>
      </w:r>
      <w:r>
        <w:rPr>
          <w:rFonts w:hint="eastAsia" w:ascii="黑体" w:hAnsi="黑体" w:eastAsia="黑体" w:cs="黑体"/>
          <w:b w:val="0"/>
          <w:sz w:val="24"/>
          <w:szCs w:val="24"/>
          <w:u w:val="single"/>
          <w:lang w:val="en-US" w:eastAsia="zh-CN"/>
        </w:rPr>
        <w:t xml:space="preserve">           </w:t>
      </w:r>
    </w:p>
    <w:tbl>
      <w:tblPr>
        <w:tblStyle w:val="3"/>
        <w:tblW w:w="0" w:type="auto"/>
        <w:jc w:val="center"/>
        <w:tblLayout w:type="autofit"/>
        <w:tblCellMar>
          <w:top w:w="0" w:type="dxa"/>
          <w:left w:w="108" w:type="dxa"/>
          <w:bottom w:w="0" w:type="dxa"/>
          <w:right w:w="108" w:type="dxa"/>
        </w:tblCellMar>
      </w:tblPr>
      <w:tblGrid>
        <w:gridCol w:w="740"/>
        <w:gridCol w:w="740"/>
        <w:gridCol w:w="7149"/>
        <w:gridCol w:w="527"/>
        <w:gridCol w:w="757"/>
        <w:gridCol w:w="509"/>
      </w:tblGrid>
      <w:tr w14:paraId="2DF3083A">
        <w:tblPrEx>
          <w:tblCellMar>
            <w:top w:w="0" w:type="dxa"/>
            <w:left w:w="108" w:type="dxa"/>
            <w:bottom w:w="0" w:type="dxa"/>
            <w:right w:w="108" w:type="dxa"/>
          </w:tblCellMar>
        </w:tblPrEx>
        <w:trPr>
          <w:trHeight w:val="61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0" w:type="auto"/>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71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527"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自评得分项</w:t>
            </w:r>
          </w:p>
        </w:tc>
        <w:tc>
          <w:tcPr>
            <w:tcW w:w="0" w:type="auto"/>
            <w:tcBorders>
              <w:top w:val="single" w:color="auto" w:sz="4" w:space="0"/>
              <w:left w:val="nil"/>
              <w:bottom w:val="single" w:color="auto" w:sz="4" w:space="0"/>
              <w:right w:val="single" w:color="auto" w:sz="4" w:space="0"/>
            </w:tcBorders>
            <w:shd w:val="clear" w:color="auto" w:fill="auto"/>
            <w:vAlign w:val="center"/>
          </w:tcPr>
          <w:p w14:paraId="14C3AF4A">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自评</w:t>
            </w:r>
          </w:p>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3386" w:hRule="atLeast"/>
          <w:jc w:val="center"/>
        </w:trPr>
        <w:tc>
          <w:tcPr>
            <w:tcW w:w="0" w:type="auto"/>
            <w:vMerge w:val="restart"/>
            <w:tcBorders>
              <w:top w:val="single" w:color="auto" w:sz="4" w:space="0"/>
              <w:left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_GB2312" w:cs="宋体"/>
                <w:b w:val="0"/>
                <w:color w:val="000000"/>
                <w:spacing w:val="0"/>
                <w:sz w:val="24"/>
                <w:szCs w:val="24"/>
              </w:rPr>
              <w:t>评价项目</w:t>
            </w:r>
          </w:p>
        </w:tc>
        <w:tc>
          <w:tcPr>
            <w:tcW w:w="0" w:type="auto"/>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7149" w:type="dxa"/>
            <w:tcBorders>
              <w:top w:val="single" w:color="auto" w:sz="4" w:space="0"/>
              <w:left w:val="single" w:color="auto" w:sz="4" w:space="0"/>
              <w:right w:val="single" w:color="auto" w:sz="4" w:space="0"/>
            </w:tcBorders>
            <w:shd w:val="clear" w:color="auto" w:fill="auto"/>
            <w:vAlign w:val="center"/>
          </w:tcPr>
          <w:p w14:paraId="63D52994">
            <w:pPr>
              <w:widowControl/>
              <w:jc w:val="both"/>
              <w:rPr>
                <w:rFonts w:hint="eastAsia" w:asciiTheme="majorEastAsia" w:hAnsiTheme="majorEastAsia" w:eastAsiaTheme="majorEastAsia" w:cstheme="majorEastAsia"/>
                <w:b w:val="0"/>
                <w:color w:val="000000"/>
                <w:spacing w:val="-4"/>
                <w:sz w:val="18"/>
                <w:szCs w:val="18"/>
                <w:lang w:val="en-US" w:eastAsia="zh-CN"/>
              </w:rPr>
            </w:pPr>
            <w:r>
              <w:rPr>
                <w:rFonts w:hint="eastAsia" w:asciiTheme="majorEastAsia" w:hAnsiTheme="majorEastAsia" w:eastAsiaTheme="majorEastAsia" w:cstheme="majorEastAsia"/>
                <w:b w:val="0"/>
                <w:color w:val="000000"/>
                <w:spacing w:val="-4"/>
                <w:sz w:val="18"/>
                <w:szCs w:val="18"/>
                <w:lang w:val="en-US" w:eastAsia="zh-CN"/>
              </w:rPr>
              <w:t>学历学位俱全的2023年—2025年度软科中国大学排名师范类前40名院校全日制本科毕业生得40分；</w:t>
            </w:r>
          </w:p>
          <w:p w14:paraId="6BF9CE7F">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000000"/>
                <w:spacing w:val="-4"/>
                <w:sz w:val="18"/>
                <w:szCs w:val="18"/>
                <w:lang w:val="en-US" w:eastAsia="zh-CN"/>
              </w:rPr>
              <w:t>学历学位俱全的2023年—2025年度软科中国大学排名师范类前40名院校</w:t>
            </w:r>
            <w:r>
              <w:rPr>
                <w:rFonts w:hint="eastAsia" w:asciiTheme="majorEastAsia" w:hAnsiTheme="majorEastAsia" w:eastAsiaTheme="majorEastAsia" w:cstheme="majorEastAsia"/>
                <w:b w:val="0"/>
                <w:color w:val="000000"/>
                <w:spacing w:val="-4"/>
                <w:sz w:val="18"/>
                <w:szCs w:val="18"/>
              </w:rPr>
              <w:t>全日制</w:t>
            </w:r>
            <w:r>
              <w:rPr>
                <w:rFonts w:hint="eastAsia" w:asciiTheme="majorEastAsia" w:hAnsiTheme="majorEastAsia" w:eastAsiaTheme="majorEastAsia" w:cstheme="majorEastAsia"/>
                <w:b w:val="0"/>
                <w:color w:val="000000"/>
                <w:spacing w:val="-4"/>
                <w:sz w:val="18"/>
                <w:szCs w:val="18"/>
                <w:lang w:val="en-US" w:eastAsia="zh-CN"/>
              </w:rPr>
              <w:t>研究生得45分</w:t>
            </w:r>
            <w:r>
              <w:rPr>
                <w:rFonts w:hint="eastAsia" w:asciiTheme="majorEastAsia" w:hAnsiTheme="majorEastAsia" w:eastAsiaTheme="majorEastAsia" w:cstheme="majorEastAsia"/>
                <w:b w:val="0"/>
                <w:color w:val="auto"/>
                <w:spacing w:val="-4"/>
                <w:sz w:val="18"/>
                <w:szCs w:val="18"/>
                <w:highlight w:val="none"/>
                <w:lang w:val="en-US" w:eastAsia="zh-CN"/>
              </w:rPr>
              <w:t>；</w:t>
            </w:r>
          </w:p>
          <w:p w14:paraId="11AE3926">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学历学位俱全的“一流学科”建设高校且非一流学科本科毕业生得40分；</w:t>
            </w:r>
          </w:p>
          <w:p w14:paraId="1048AC18">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学历学位俱全的“一流学科”建设高校且非一流学科硕士研究生得50分；</w:t>
            </w:r>
          </w:p>
          <w:p w14:paraId="537B1382">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学历学位俱全的“一流大学”或“一流学科”本科毕业生得45分；</w:t>
            </w:r>
          </w:p>
          <w:p w14:paraId="416C606E">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学历学位俱全的“一流大学”或“一流学科”硕士研究生得60分。</w:t>
            </w:r>
          </w:p>
          <w:p w14:paraId="66693E0E">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学历学位俱全的全日制硕士研究生得40分；</w:t>
            </w:r>
          </w:p>
          <w:p w14:paraId="75979C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b w:val="0"/>
                <w:color w:val="auto"/>
                <w:spacing w:val="-4"/>
                <w:sz w:val="18"/>
                <w:szCs w:val="18"/>
                <w:highlight w:val="none"/>
                <w:lang w:val="en-US" w:eastAsia="zh-CN"/>
              </w:rPr>
            </w:pPr>
            <w:r>
              <w:rPr>
                <w:rFonts w:hint="default" w:asciiTheme="majorEastAsia" w:hAnsiTheme="majorEastAsia" w:eastAsiaTheme="majorEastAsia" w:cstheme="majorEastAsia"/>
                <w:b w:val="0"/>
                <w:color w:val="auto"/>
                <w:spacing w:val="-4"/>
                <w:sz w:val="18"/>
                <w:szCs w:val="18"/>
                <w:highlight w:val="none"/>
                <w:lang w:val="en-US" w:eastAsia="zh-CN"/>
              </w:rPr>
              <w:t>留学归国的硕士研究生</w:t>
            </w:r>
            <w:r>
              <w:rPr>
                <w:rFonts w:hint="eastAsia" w:asciiTheme="majorEastAsia" w:hAnsiTheme="majorEastAsia" w:eastAsiaTheme="majorEastAsia" w:cstheme="majorEastAsia"/>
                <w:b w:val="0"/>
                <w:color w:val="auto"/>
                <w:spacing w:val="-4"/>
                <w:sz w:val="18"/>
                <w:szCs w:val="18"/>
                <w:highlight w:val="none"/>
                <w:lang w:val="en-US" w:eastAsia="zh-CN"/>
              </w:rPr>
              <w:t>得45分；</w:t>
            </w:r>
          </w:p>
          <w:p w14:paraId="588CDE12">
            <w:pPr>
              <w:widowControl/>
              <w:jc w:val="both"/>
              <w:rPr>
                <w:rFonts w:hint="eastAsia"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教育部直属6所师范类院校公费本科师范生得50分；</w:t>
            </w:r>
          </w:p>
          <w:p w14:paraId="0B96B4EF">
            <w:pPr>
              <w:widowControl/>
              <w:jc w:val="both"/>
              <w:rPr>
                <w:rFonts w:hint="default" w:asciiTheme="majorEastAsia" w:hAnsiTheme="majorEastAsia" w:eastAsiaTheme="majorEastAsia" w:cstheme="majorEastAsia"/>
                <w:b w:val="0"/>
                <w:color w:val="000000"/>
                <w:spacing w:val="-4"/>
                <w:sz w:val="18"/>
                <w:szCs w:val="18"/>
                <w:lang w:val="en-US" w:eastAsia="zh-CN"/>
              </w:rPr>
            </w:pPr>
            <w:r>
              <w:rPr>
                <w:rFonts w:hint="eastAsia" w:asciiTheme="majorEastAsia" w:hAnsiTheme="majorEastAsia" w:eastAsiaTheme="majorEastAsia" w:cstheme="majorEastAsia"/>
                <w:b w:val="0"/>
                <w:color w:val="auto"/>
                <w:spacing w:val="-4"/>
                <w:sz w:val="18"/>
                <w:szCs w:val="18"/>
                <w:highlight w:val="none"/>
                <w:lang w:val="en-US" w:eastAsia="zh-CN"/>
              </w:rPr>
              <w:t>教育部直属6所师范类院校公费硕士研究师范生得60分；</w:t>
            </w:r>
          </w:p>
        </w:tc>
        <w:tc>
          <w:tcPr>
            <w:tcW w:w="527" w:type="dxa"/>
            <w:tcBorders>
              <w:top w:val="nil"/>
              <w:left w:val="single" w:color="auto" w:sz="4" w:space="0"/>
              <w:right w:val="single" w:color="auto" w:sz="4" w:space="0"/>
            </w:tcBorders>
            <w:shd w:val="clear" w:color="auto" w:fill="auto"/>
            <w:vAlign w:val="center"/>
          </w:tcPr>
          <w:p w14:paraId="76EF434E">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60</w:t>
            </w:r>
          </w:p>
        </w:tc>
        <w:tc>
          <w:tcPr>
            <w:tcW w:w="0" w:type="auto"/>
            <w:tcBorders>
              <w:top w:val="nil"/>
              <w:left w:val="nil"/>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0" w:type="auto"/>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741ADA68">
        <w:tblPrEx>
          <w:tblCellMar>
            <w:top w:w="0" w:type="dxa"/>
            <w:left w:w="108" w:type="dxa"/>
            <w:bottom w:w="0" w:type="dxa"/>
            <w:right w:w="108" w:type="dxa"/>
          </w:tblCellMar>
        </w:tblPrEx>
        <w:trPr>
          <w:trHeight w:val="2956" w:hRule="atLeast"/>
          <w:jc w:val="center"/>
        </w:trPr>
        <w:tc>
          <w:tcPr>
            <w:tcW w:w="0" w:type="auto"/>
            <w:vMerge w:val="continue"/>
            <w:tcBorders>
              <w:left w:val="single" w:color="auto" w:sz="4" w:space="0"/>
              <w:right w:val="single" w:color="auto" w:sz="4" w:space="0"/>
            </w:tcBorders>
            <w:vAlign w:val="center"/>
          </w:tcPr>
          <w:p w14:paraId="28284EFC">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0556B6A">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科研成果</w:t>
            </w:r>
          </w:p>
        </w:tc>
        <w:tc>
          <w:tcPr>
            <w:tcW w:w="7149" w:type="dxa"/>
            <w:tcBorders>
              <w:top w:val="single" w:color="auto" w:sz="4" w:space="0"/>
              <w:left w:val="nil"/>
              <w:bottom w:val="single" w:color="auto" w:sz="4" w:space="0"/>
              <w:right w:val="single" w:color="auto" w:sz="4" w:space="0"/>
            </w:tcBorders>
            <w:shd w:val="clear" w:color="auto" w:fill="auto"/>
            <w:vAlign w:val="center"/>
          </w:tcPr>
          <w:p w14:paraId="75363E17">
            <w:pPr>
              <w:widowControl/>
              <w:rPr>
                <w:rFonts w:asciiTheme="majorEastAsia" w:hAnsiTheme="majorEastAsia" w:eastAsiaTheme="majorEastAsia" w:cstheme="majorEastAsia"/>
                <w:b w:val="0"/>
                <w:spacing w:val="-4"/>
                <w:sz w:val="18"/>
                <w:szCs w:val="18"/>
              </w:rPr>
            </w:pPr>
            <w:r>
              <w:rPr>
                <w:rFonts w:hint="eastAsia" w:asciiTheme="majorEastAsia" w:hAnsiTheme="majorEastAsia" w:eastAsiaTheme="majorEastAsia" w:cstheme="majorEastAsia"/>
                <w:b w:val="0"/>
                <w:spacing w:val="-4"/>
                <w:sz w:val="18"/>
                <w:szCs w:val="18"/>
              </w:rPr>
              <w:t>1. SCI、SSCI一区检索的本学科学术期刊论文，每篇得15分（第一作者，不含并列第一作者）；</w:t>
            </w:r>
          </w:p>
          <w:p w14:paraId="70C8C11B">
            <w:pPr>
              <w:widowControl/>
              <w:rPr>
                <w:rFonts w:asciiTheme="majorEastAsia" w:hAnsiTheme="majorEastAsia" w:eastAsiaTheme="majorEastAsia" w:cstheme="majorEastAsia"/>
                <w:b w:val="0"/>
                <w:spacing w:val="-4"/>
                <w:sz w:val="18"/>
                <w:szCs w:val="18"/>
              </w:rPr>
            </w:pPr>
            <w:r>
              <w:rPr>
                <w:rFonts w:hint="eastAsia" w:asciiTheme="majorEastAsia" w:hAnsiTheme="majorEastAsia" w:eastAsiaTheme="majorEastAsia" w:cstheme="majorEastAsia"/>
                <w:b w:val="0"/>
                <w:spacing w:val="-4"/>
                <w:sz w:val="18"/>
                <w:szCs w:val="18"/>
              </w:rPr>
              <w:t>2. SCI、SSCI一区检索（并列第一作者）或SCI、SSCI二区检索的本学科学术期刊论文（第一作者，不含并列第一作者），每篇得10分；</w:t>
            </w:r>
          </w:p>
          <w:p w14:paraId="64C5BEDD">
            <w:pPr>
              <w:widowControl/>
              <w:rPr>
                <w:rFonts w:asciiTheme="majorEastAsia" w:hAnsiTheme="majorEastAsia" w:eastAsiaTheme="majorEastAsia" w:cstheme="majorEastAsia"/>
                <w:b w:val="0"/>
                <w:spacing w:val="-4"/>
                <w:sz w:val="18"/>
                <w:szCs w:val="18"/>
              </w:rPr>
            </w:pPr>
            <w:r>
              <w:rPr>
                <w:rFonts w:hint="eastAsia" w:asciiTheme="majorEastAsia" w:hAnsiTheme="majorEastAsia" w:eastAsiaTheme="majorEastAsia" w:cstheme="majorEastAsia"/>
                <w:b w:val="0"/>
                <w:spacing w:val="-4"/>
                <w:sz w:val="18"/>
                <w:szCs w:val="18"/>
              </w:rPr>
              <w:t>3. SCI、SSCI二区检索（并列第一作者）或SCI、SSCI三区检索的本学科学术期刊论文（第一作者，不含并列第一作者），每篇得5分；</w:t>
            </w:r>
          </w:p>
          <w:p w14:paraId="68322F15">
            <w:pPr>
              <w:widowControl/>
              <w:rPr>
                <w:rFonts w:hint="eastAsia" w:asciiTheme="majorEastAsia" w:hAnsiTheme="majorEastAsia" w:eastAsiaTheme="majorEastAsia" w:cstheme="majorEastAsia"/>
                <w:b/>
                <w:bCs/>
                <w:spacing w:val="-4"/>
                <w:sz w:val="18"/>
                <w:szCs w:val="18"/>
              </w:rPr>
            </w:pPr>
            <w:r>
              <w:rPr>
                <w:rFonts w:hint="eastAsia" w:asciiTheme="majorEastAsia" w:hAnsiTheme="majorEastAsia" w:eastAsiaTheme="majorEastAsia" w:cstheme="majorEastAsia"/>
                <w:b w:val="0"/>
                <w:spacing w:val="-4"/>
                <w:sz w:val="18"/>
                <w:szCs w:val="18"/>
              </w:rPr>
              <w:t>4. SCI、SSCI三区检索（并列第一作者）或SCI、SSCI四区检索（第一作者，不含并列第一作者）或EI检索的本学科学术期刊论文（第一作者，不含并列第一作者），每篇得2分。</w:t>
            </w:r>
            <w:r>
              <w:rPr>
                <w:rFonts w:hint="eastAsia" w:asciiTheme="majorEastAsia" w:hAnsiTheme="majorEastAsia" w:eastAsiaTheme="majorEastAsia" w:cstheme="majorEastAsia"/>
                <w:b/>
                <w:bCs/>
                <w:spacing w:val="-4"/>
                <w:sz w:val="18"/>
                <w:szCs w:val="18"/>
              </w:rPr>
              <w:t>SCI、SSCI分区以中科院年度分区为准。</w:t>
            </w:r>
          </w:p>
          <w:p w14:paraId="696E525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val="0"/>
                <w:spacing w:val="-4"/>
                <w:sz w:val="18"/>
                <w:szCs w:val="18"/>
              </w:rPr>
            </w:pPr>
            <w:r>
              <w:rPr>
                <w:rFonts w:hint="eastAsia" w:asciiTheme="majorEastAsia" w:hAnsiTheme="majorEastAsia" w:eastAsiaTheme="majorEastAsia" w:cstheme="majorEastAsia"/>
                <w:b w:val="0"/>
                <w:spacing w:val="-4"/>
                <w:sz w:val="18"/>
                <w:szCs w:val="18"/>
              </w:rPr>
              <w:t>5.作为第一发明人发表发明专利，每项得10分。各项累加不超过</w:t>
            </w:r>
            <w:r>
              <w:rPr>
                <w:rFonts w:hint="eastAsia" w:asciiTheme="majorEastAsia" w:hAnsiTheme="majorEastAsia" w:eastAsiaTheme="majorEastAsia" w:cstheme="majorEastAsia"/>
                <w:b w:val="0"/>
                <w:spacing w:val="-4"/>
                <w:sz w:val="18"/>
                <w:szCs w:val="18"/>
                <w:lang w:val="en-US" w:eastAsia="zh-CN"/>
              </w:rPr>
              <w:t>15</w:t>
            </w:r>
            <w:r>
              <w:rPr>
                <w:rFonts w:hint="eastAsia" w:asciiTheme="majorEastAsia" w:hAnsiTheme="majorEastAsia" w:eastAsiaTheme="majorEastAsia" w:cstheme="majorEastAsia"/>
                <w:b w:val="0"/>
                <w:spacing w:val="-4"/>
                <w:sz w:val="18"/>
                <w:szCs w:val="18"/>
              </w:rPr>
              <w:t>分。</w:t>
            </w:r>
          </w:p>
        </w:tc>
        <w:tc>
          <w:tcPr>
            <w:tcW w:w="527" w:type="dxa"/>
            <w:tcBorders>
              <w:top w:val="single" w:color="auto" w:sz="4" w:space="0"/>
              <w:left w:val="nil"/>
              <w:bottom w:val="single" w:color="auto" w:sz="4" w:space="0"/>
              <w:right w:val="single" w:color="auto" w:sz="4" w:space="0"/>
            </w:tcBorders>
            <w:shd w:val="clear" w:color="auto" w:fill="auto"/>
            <w:vAlign w:val="center"/>
          </w:tcPr>
          <w:p w14:paraId="60B0C358">
            <w:pPr>
              <w:widowControl/>
              <w:spacing w:line="240" w:lineRule="exact"/>
              <w:jc w:val="center"/>
              <w:rPr>
                <w:rFonts w:hint="default" w:eastAsia="宋体" w:cs="宋体"/>
                <w:b w:val="0"/>
                <w:spacing w:val="0"/>
                <w:sz w:val="24"/>
                <w:szCs w:val="24"/>
                <w:lang w:val="en-US" w:eastAsia="zh-CN"/>
              </w:rPr>
            </w:pPr>
            <w:r>
              <w:rPr>
                <w:rFonts w:hint="eastAsia" w:cs="宋体"/>
                <w:b w:val="0"/>
                <w:spacing w:val="0"/>
                <w:sz w:val="24"/>
                <w:szCs w:val="24"/>
                <w:lang w:val="en-US" w:eastAsia="zh-CN"/>
              </w:rPr>
              <w:t>15</w:t>
            </w:r>
          </w:p>
        </w:tc>
        <w:tc>
          <w:tcPr>
            <w:tcW w:w="0" w:type="auto"/>
            <w:tcBorders>
              <w:top w:val="single" w:color="auto" w:sz="4" w:space="0"/>
              <w:left w:val="nil"/>
              <w:bottom w:val="single" w:color="auto" w:sz="4" w:space="0"/>
              <w:right w:val="single" w:color="auto" w:sz="4" w:space="0"/>
            </w:tcBorders>
            <w:shd w:val="clear" w:color="auto" w:fill="auto"/>
            <w:vAlign w:val="center"/>
          </w:tcPr>
          <w:p w14:paraId="2D1BC46E">
            <w:pPr>
              <w:widowControl/>
              <w:spacing w:line="240" w:lineRule="exact"/>
              <w:jc w:val="center"/>
              <w:rPr>
                <w:rFonts w:cs="宋体"/>
                <w:b w:val="0"/>
                <w:color w:val="FF0000"/>
                <w:spacing w:val="0"/>
                <w:sz w:val="21"/>
                <w:szCs w:val="21"/>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97E35B8">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992" w:hRule="atLeast"/>
          <w:jc w:val="center"/>
        </w:trPr>
        <w:tc>
          <w:tcPr>
            <w:tcW w:w="0" w:type="auto"/>
            <w:vMerge w:val="continue"/>
            <w:tcBorders>
              <w:left w:val="single" w:color="auto" w:sz="4" w:space="0"/>
              <w:right w:val="single" w:color="auto" w:sz="4" w:space="0"/>
            </w:tcBorders>
            <w:vAlign w:val="center"/>
          </w:tcPr>
          <w:p w14:paraId="3B0E82AF">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right w:val="single" w:color="auto" w:sz="4" w:space="0"/>
            </w:tcBorders>
            <w:shd w:val="clear" w:color="auto" w:fill="auto"/>
            <w:vAlign w:val="center"/>
          </w:tcPr>
          <w:p w14:paraId="3F753331">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rPr>
              <w:t>职业资格</w:t>
            </w:r>
          </w:p>
        </w:tc>
        <w:tc>
          <w:tcPr>
            <w:tcW w:w="7149" w:type="dxa"/>
            <w:tcBorders>
              <w:top w:val="single" w:color="auto" w:sz="4" w:space="0"/>
              <w:left w:val="single" w:color="auto" w:sz="4" w:space="0"/>
              <w:right w:val="single" w:color="auto" w:sz="4" w:space="0"/>
            </w:tcBorders>
            <w:shd w:val="clear" w:color="auto" w:fill="auto"/>
            <w:vAlign w:val="center"/>
          </w:tcPr>
          <w:p w14:paraId="63EC3602">
            <w:pPr>
              <w:widowControl/>
              <w:spacing w:line="120" w:lineRule="auto"/>
              <w:rPr>
                <w:rFonts w:hint="eastAsia" w:asciiTheme="majorEastAsia" w:hAnsiTheme="majorEastAsia" w:eastAsiaTheme="majorEastAsia" w:cstheme="majorEastAsia"/>
                <w:b w:val="0"/>
                <w:color w:val="000000"/>
                <w:spacing w:val="0"/>
                <w:sz w:val="18"/>
                <w:szCs w:val="18"/>
                <w:lang w:val="en-US" w:eastAsia="zh-CN"/>
              </w:rPr>
            </w:pPr>
            <w:r>
              <w:rPr>
                <w:rFonts w:hint="eastAsia" w:asciiTheme="majorEastAsia" w:hAnsiTheme="majorEastAsia" w:eastAsiaTheme="majorEastAsia" w:cstheme="majorEastAsia"/>
                <w:b w:val="0"/>
                <w:color w:val="000000"/>
                <w:spacing w:val="0"/>
                <w:sz w:val="18"/>
                <w:szCs w:val="18"/>
                <w:lang w:val="en-US" w:eastAsia="zh-CN"/>
              </w:rPr>
              <w:t>1.</w:t>
            </w:r>
            <w:r>
              <w:rPr>
                <w:rFonts w:hint="eastAsia" w:asciiTheme="majorEastAsia" w:hAnsiTheme="majorEastAsia" w:eastAsiaTheme="majorEastAsia" w:cstheme="majorEastAsia"/>
                <w:b w:val="0"/>
                <w:color w:val="000000"/>
                <w:spacing w:val="0"/>
                <w:sz w:val="18"/>
                <w:szCs w:val="18"/>
              </w:rPr>
              <w:t>取得</w:t>
            </w:r>
            <w:r>
              <w:rPr>
                <w:rFonts w:hint="eastAsia" w:asciiTheme="majorEastAsia" w:hAnsiTheme="majorEastAsia" w:eastAsiaTheme="majorEastAsia" w:cstheme="majorEastAsia"/>
                <w:b w:val="0"/>
                <w:color w:val="000000"/>
                <w:spacing w:val="0"/>
                <w:sz w:val="18"/>
                <w:szCs w:val="18"/>
                <w:lang w:val="en-US" w:eastAsia="zh-CN"/>
              </w:rPr>
              <w:t>中级职称或</w:t>
            </w:r>
            <w:r>
              <w:rPr>
                <w:rFonts w:hint="eastAsia" w:asciiTheme="majorEastAsia" w:hAnsiTheme="majorEastAsia" w:eastAsiaTheme="majorEastAsia" w:cstheme="majorEastAsia"/>
                <w:b w:val="0"/>
                <w:color w:val="000000"/>
                <w:spacing w:val="0"/>
                <w:sz w:val="18"/>
                <w:szCs w:val="18"/>
              </w:rPr>
              <w:t>可对应至中级职称的专业技术人员职业资格得</w:t>
            </w:r>
            <w:r>
              <w:rPr>
                <w:rFonts w:hint="eastAsia" w:asciiTheme="majorEastAsia" w:hAnsiTheme="majorEastAsia" w:eastAsiaTheme="majorEastAsia" w:cstheme="majorEastAsia"/>
                <w:b w:val="0"/>
                <w:color w:val="000000"/>
                <w:spacing w:val="0"/>
                <w:sz w:val="18"/>
                <w:szCs w:val="18"/>
                <w:lang w:val="en-US" w:eastAsia="zh-CN"/>
              </w:rPr>
              <w:t>10</w:t>
            </w:r>
            <w:r>
              <w:rPr>
                <w:rFonts w:hint="eastAsia" w:asciiTheme="majorEastAsia" w:hAnsiTheme="majorEastAsia" w:eastAsiaTheme="majorEastAsia" w:cstheme="majorEastAsia"/>
                <w:b w:val="0"/>
                <w:color w:val="000000"/>
                <w:spacing w:val="0"/>
                <w:sz w:val="18"/>
                <w:szCs w:val="18"/>
              </w:rPr>
              <w:t>分</w:t>
            </w:r>
            <w:r>
              <w:rPr>
                <w:rFonts w:hint="eastAsia" w:asciiTheme="majorEastAsia" w:hAnsiTheme="majorEastAsia" w:eastAsiaTheme="majorEastAsia" w:cstheme="majorEastAsia"/>
                <w:b w:val="0"/>
                <w:color w:val="000000"/>
                <w:spacing w:val="0"/>
                <w:sz w:val="18"/>
                <w:szCs w:val="18"/>
                <w:lang w:val="en-US" w:eastAsia="zh-CN"/>
              </w:rPr>
              <w:t>；</w:t>
            </w:r>
          </w:p>
          <w:p w14:paraId="22AD2CE5">
            <w:pPr>
              <w:widowControl/>
              <w:spacing w:line="120" w:lineRule="auto"/>
              <w:rPr>
                <w:rFonts w:hint="eastAsia" w:asciiTheme="majorEastAsia" w:hAnsiTheme="majorEastAsia" w:eastAsiaTheme="majorEastAsia" w:cstheme="majorEastAsia"/>
                <w:b w:val="0"/>
                <w:color w:val="000000"/>
                <w:spacing w:val="-4"/>
                <w:sz w:val="18"/>
                <w:szCs w:val="18"/>
                <w:highlight w:val="none"/>
                <w:lang w:val="en-US" w:eastAsia="zh-CN" w:bidi="ar-SA"/>
              </w:rPr>
            </w:pPr>
            <w:r>
              <w:rPr>
                <w:rFonts w:hint="eastAsia" w:asciiTheme="majorEastAsia" w:hAnsiTheme="majorEastAsia" w:eastAsiaTheme="majorEastAsia" w:cstheme="majorEastAsia"/>
                <w:b w:val="0"/>
                <w:color w:val="000000"/>
                <w:spacing w:val="-4"/>
                <w:sz w:val="18"/>
                <w:szCs w:val="18"/>
                <w:highlight w:val="none"/>
                <w:lang w:val="en-US" w:eastAsia="zh-CN" w:bidi="ar-SA"/>
              </w:rPr>
              <w:t>2.取得教师资格证书得10分，已经通过教师资格证国考笔试，暂未面试得7分；</w:t>
            </w:r>
          </w:p>
          <w:p w14:paraId="592D8581">
            <w:pPr>
              <w:widowControl/>
              <w:spacing w:line="120" w:lineRule="auto"/>
              <w:rPr>
                <w:rFonts w:hint="eastAsia" w:asciiTheme="majorEastAsia" w:hAnsiTheme="majorEastAsia" w:eastAsiaTheme="majorEastAsia" w:cstheme="majorEastAsia"/>
                <w:b w:val="0"/>
                <w:color w:val="000000"/>
                <w:spacing w:val="-4"/>
                <w:sz w:val="18"/>
                <w:szCs w:val="18"/>
                <w:lang w:val="en-US" w:eastAsia="zh-CN" w:bidi="ar-SA"/>
              </w:rPr>
            </w:pPr>
            <w:r>
              <w:rPr>
                <w:rFonts w:hint="eastAsia" w:asciiTheme="majorEastAsia" w:hAnsiTheme="majorEastAsia" w:eastAsiaTheme="majorEastAsia" w:cstheme="majorEastAsia"/>
                <w:b w:val="0"/>
                <w:color w:val="000000"/>
                <w:spacing w:val="-4"/>
                <w:sz w:val="18"/>
                <w:szCs w:val="18"/>
                <w:highlight w:val="none"/>
                <w:lang w:val="en-US" w:eastAsia="zh-CN" w:bidi="ar-SA"/>
              </w:rPr>
              <w:t>3.</w:t>
            </w:r>
            <w:r>
              <w:rPr>
                <w:rFonts w:hint="eastAsia" w:asciiTheme="majorEastAsia" w:hAnsiTheme="majorEastAsia" w:eastAsiaTheme="majorEastAsia" w:cstheme="majorEastAsia"/>
                <w:b w:val="0"/>
                <w:color w:val="000000"/>
                <w:spacing w:val="-4"/>
                <w:sz w:val="18"/>
                <w:szCs w:val="18"/>
              </w:rPr>
              <w:t>各项累加不超过</w:t>
            </w:r>
            <w:r>
              <w:rPr>
                <w:rFonts w:hint="eastAsia" w:asciiTheme="majorEastAsia" w:hAnsiTheme="majorEastAsia" w:eastAsiaTheme="majorEastAsia" w:cstheme="majorEastAsia"/>
                <w:b w:val="0"/>
                <w:color w:val="000000"/>
                <w:spacing w:val="-4"/>
                <w:sz w:val="18"/>
                <w:szCs w:val="18"/>
                <w:lang w:val="en-US" w:eastAsia="zh-CN"/>
              </w:rPr>
              <w:t>18</w:t>
            </w:r>
            <w:r>
              <w:rPr>
                <w:rFonts w:hint="eastAsia" w:asciiTheme="majorEastAsia" w:hAnsiTheme="majorEastAsia" w:eastAsiaTheme="majorEastAsia" w:cstheme="majorEastAsia"/>
                <w:b w:val="0"/>
                <w:color w:val="000000"/>
                <w:spacing w:val="-4"/>
                <w:sz w:val="18"/>
                <w:szCs w:val="18"/>
              </w:rPr>
              <w:t>分</w:t>
            </w:r>
            <w:r>
              <w:rPr>
                <w:rFonts w:hint="eastAsia" w:asciiTheme="majorEastAsia" w:hAnsiTheme="majorEastAsia" w:eastAsiaTheme="majorEastAsia" w:cstheme="majorEastAsia"/>
                <w:b w:val="0"/>
                <w:color w:val="000000"/>
                <w:spacing w:val="-4"/>
                <w:sz w:val="18"/>
                <w:szCs w:val="18"/>
                <w:highlight w:val="none"/>
                <w:lang w:val="en-US" w:eastAsia="zh-CN" w:bidi="ar-SA"/>
              </w:rPr>
              <w:t>。</w:t>
            </w:r>
          </w:p>
        </w:tc>
        <w:tc>
          <w:tcPr>
            <w:tcW w:w="527" w:type="dxa"/>
            <w:tcBorders>
              <w:top w:val="single" w:color="auto" w:sz="4" w:space="0"/>
              <w:left w:val="single" w:color="auto" w:sz="4" w:space="0"/>
              <w:right w:val="single" w:color="auto" w:sz="4" w:space="0"/>
            </w:tcBorders>
            <w:shd w:val="clear" w:color="auto" w:fill="auto"/>
            <w:vAlign w:val="center"/>
          </w:tcPr>
          <w:p w14:paraId="753FF853">
            <w:pPr>
              <w:widowControl/>
              <w:spacing w:line="240" w:lineRule="exact"/>
              <w:jc w:val="center"/>
              <w:rPr>
                <w:rFonts w:hint="default"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lang w:val="en-US" w:eastAsia="zh-CN" w:bidi="ar-SA"/>
              </w:rPr>
              <w:t>18</w:t>
            </w:r>
          </w:p>
        </w:tc>
        <w:tc>
          <w:tcPr>
            <w:tcW w:w="0" w:type="auto"/>
            <w:tcBorders>
              <w:top w:val="single" w:color="auto" w:sz="4" w:space="0"/>
              <w:left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746F4649">
        <w:tblPrEx>
          <w:tblCellMar>
            <w:top w:w="0" w:type="dxa"/>
            <w:left w:w="108" w:type="dxa"/>
            <w:bottom w:w="0" w:type="dxa"/>
            <w:right w:w="108" w:type="dxa"/>
          </w:tblCellMar>
        </w:tblPrEx>
        <w:trPr>
          <w:trHeight w:val="926" w:hRule="atLeast"/>
          <w:jc w:val="center"/>
        </w:trPr>
        <w:tc>
          <w:tcPr>
            <w:tcW w:w="0" w:type="auto"/>
            <w:vMerge w:val="continue"/>
            <w:tcBorders>
              <w:left w:val="single" w:color="auto" w:sz="4" w:space="0"/>
              <w:right w:val="single" w:color="auto" w:sz="4" w:space="0"/>
            </w:tcBorders>
            <w:vAlign w:val="center"/>
          </w:tcPr>
          <w:p w14:paraId="1D2A67F7">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69EF4">
            <w:pPr>
              <w:widowControl/>
              <w:spacing w:line="240" w:lineRule="exact"/>
              <w:jc w:val="center"/>
              <w:rPr>
                <w:rFonts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获得奖项</w:t>
            </w:r>
          </w:p>
        </w:tc>
        <w:tc>
          <w:tcPr>
            <w:tcW w:w="7149" w:type="dxa"/>
            <w:tcBorders>
              <w:top w:val="single" w:color="auto" w:sz="4" w:space="0"/>
              <w:left w:val="single" w:color="auto" w:sz="4" w:space="0"/>
              <w:bottom w:val="single" w:color="auto" w:sz="4" w:space="0"/>
              <w:right w:val="single" w:color="auto" w:sz="4" w:space="0"/>
            </w:tcBorders>
            <w:shd w:val="clear" w:color="auto" w:fill="auto"/>
            <w:vAlign w:val="center"/>
          </w:tcPr>
          <w:p w14:paraId="7CB9397F">
            <w:pPr>
              <w:keepNext w:val="0"/>
              <w:keepLines w:val="0"/>
              <w:pageBreakBefore w:val="0"/>
              <w:widowControl/>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b w:val="0"/>
                <w:color w:val="000000"/>
                <w:spacing w:val="0"/>
                <w:sz w:val="18"/>
                <w:szCs w:val="18"/>
              </w:rPr>
            </w:pPr>
            <w:r>
              <w:rPr>
                <w:rFonts w:hint="eastAsia" w:asciiTheme="minorEastAsia" w:hAnsiTheme="minorEastAsia" w:eastAsiaTheme="minorEastAsia" w:cstheme="minorEastAsia"/>
                <w:b w:val="0"/>
                <w:color w:val="000000"/>
                <w:spacing w:val="-4"/>
                <w:sz w:val="18"/>
                <w:szCs w:val="18"/>
              </w:rPr>
              <w:t>获得国家级荣誉者每项得5分；获得国家部委和省级荣誉者每项得3分；获得市级荣誉者每项得1分。各项累加不超过5分。</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32DBEA70">
            <w:pPr>
              <w:widowControl/>
              <w:jc w:val="center"/>
              <w:rPr>
                <w:rFonts w:cs="宋体"/>
                <w:b w:val="0"/>
                <w:color w:val="000000"/>
                <w:spacing w:val="0"/>
                <w:sz w:val="24"/>
                <w:szCs w:val="24"/>
              </w:rPr>
            </w:pPr>
            <w:r>
              <w:rPr>
                <w:rFonts w:hint="eastAsia" w:cs="宋体"/>
                <w:b w:val="0"/>
                <w:color w:val="000000"/>
                <w:spacing w:val="0"/>
                <w:sz w:val="24"/>
                <w:szCs w:val="24"/>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A0BB42">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677822">
            <w:pPr>
              <w:widowControl/>
              <w:spacing w:line="240" w:lineRule="exact"/>
              <w:jc w:val="center"/>
              <w:rPr>
                <w:rFonts w:cs="宋体"/>
                <w:b w:val="0"/>
                <w:color w:val="FF0000"/>
                <w:spacing w:val="0"/>
                <w:sz w:val="21"/>
                <w:szCs w:val="21"/>
              </w:rPr>
            </w:pPr>
          </w:p>
        </w:tc>
      </w:tr>
      <w:tr w14:paraId="5B50C1CF">
        <w:tblPrEx>
          <w:tblCellMar>
            <w:top w:w="0" w:type="dxa"/>
            <w:left w:w="108" w:type="dxa"/>
            <w:bottom w:w="0" w:type="dxa"/>
            <w:right w:w="108" w:type="dxa"/>
          </w:tblCellMar>
        </w:tblPrEx>
        <w:trPr>
          <w:trHeight w:val="926" w:hRule="atLeast"/>
          <w:jc w:val="center"/>
        </w:trPr>
        <w:tc>
          <w:tcPr>
            <w:tcW w:w="0" w:type="auto"/>
            <w:tcBorders>
              <w:left w:val="single" w:color="auto" w:sz="4" w:space="0"/>
              <w:bottom w:val="single" w:color="auto" w:sz="4" w:space="0"/>
              <w:right w:val="single" w:color="auto" w:sz="4" w:space="0"/>
            </w:tcBorders>
            <w:vAlign w:val="center"/>
          </w:tcPr>
          <w:p w14:paraId="4FF5AE4A">
            <w:pPr>
              <w:widowControl/>
              <w:spacing w:line="240" w:lineRule="exact"/>
              <w:jc w:val="center"/>
              <w:rPr>
                <w:rFonts w:ascii="楷体_GB2312" w:eastAsia="楷体_GB2312" w:cs="宋体"/>
                <w:b w:val="0"/>
                <w:color w:val="000000"/>
                <w:spacing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9E102E">
            <w:pPr>
              <w:widowControl/>
              <w:spacing w:line="240" w:lineRule="exact"/>
              <w:jc w:val="center"/>
              <w:rPr>
                <w:rFonts w:hint="default" w:ascii="楷体" w:hAnsi="楷体" w:eastAsia="楷体" w:cs="楷体"/>
                <w:b w:val="0"/>
                <w:color w:val="auto"/>
                <w:spacing w:val="0"/>
                <w:sz w:val="24"/>
                <w:szCs w:val="24"/>
                <w:highlight w:val="none"/>
                <w:lang w:val="en-US" w:eastAsia="zh-CN"/>
              </w:rPr>
            </w:pPr>
            <w:r>
              <w:rPr>
                <w:rFonts w:hint="eastAsia" w:ascii="楷体" w:hAnsi="楷体" w:eastAsia="楷体" w:cs="楷体"/>
                <w:b w:val="0"/>
                <w:color w:val="auto"/>
                <w:spacing w:val="0"/>
                <w:sz w:val="24"/>
                <w:szCs w:val="24"/>
                <w:highlight w:val="none"/>
                <w:lang w:val="en-US" w:eastAsia="zh-CN"/>
              </w:rPr>
              <w:t>其他加分</w:t>
            </w:r>
          </w:p>
        </w:tc>
        <w:tc>
          <w:tcPr>
            <w:tcW w:w="7149" w:type="dxa"/>
            <w:tcBorders>
              <w:top w:val="single" w:color="auto" w:sz="4" w:space="0"/>
              <w:left w:val="single" w:color="auto" w:sz="4" w:space="0"/>
              <w:bottom w:val="single" w:color="auto" w:sz="4" w:space="0"/>
              <w:right w:val="single" w:color="auto" w:sz="4" w:space="0"/>
            </w:tcBorders>
            <w:shd w:val="clear" w:color="auto" w:fill="auto"/>
            <w:vAlign w:val="center"/>
          </w:tcPr>
          <w:p w14:paraId="1166E92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heme="minorEastAsia" w:hAnsiTheme="minorEastAsia" w:eastAsiaTheme="minorEastAsia" w:cstheme="minorEastAsia"/>
                <w:b w:val="0"/>
                <w:color w:val="auto"/>
                <w:spacing w:val="-4"/>
                <w:sz w:val="18"/>
                <w:szCs w:val="18"/>
                <w:highlight w:val="none"/>
                <w:lang w:val="en-US" w:eastAsia="zh-CN"/>
              </w:rPr>
            </w:pPr>
            <w:r>
              <w:rPr>
                <w:rFonts w:hint="eastAsia" w:asciiTheme="minorEastAsia" w:hAnsiTheme="minorEastAsia" w:eastAsiaTheme="minorEastAsia" w:cstheme="minorEastAsia"/>
                <w:b w:val="0"/>
                <w:color w:val="auto"/>
                <w:spacing w:val="-4"/>
                <w:sz w:val="18"/>
                <w:szCs w:val="18"/>
                <w:highlight w:val="none"/>
                <w:lang w:val="en-US" w:eastAsia="zh-CN"/>
              </w:rPr>
              <w:t>中共党员（含预备党员）得2分、担任学生会主席（出具学院领导签字证明）得2分，两项不累加；担任班级班长、团支部书记（出具学院领导或班主任签字的证明）其中一项得1分（兼任不累加）。所有累加不超过2分。</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5B66D21E">
            <w:pPr>
              <w:widowControl/>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DF1607">
            <w:pPr>
              <w:widowControl/>
              <w:spacing w:line="240" w:lineRule="exact"/>
              <w:jc w:val="center"/>
              <w:rPr>
                <w:rFonts w:cs="宋体"/>
                <w:b w:val="0"/>
                <w:color w:val="FF0000"/>
                <w:spacing w:val="0"/>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DC698F">
            <w:pPr>
              <w:widowControl/>
              <w:spacing w:line="240" w:lineRule="exact"/>
              <w:jc w:val="center"/>
              <w:rPr>
                <w:rFonts w:cs="宋体"/>
                <w:b w:val="0"/>
                <w:color w:val="FF0000"/>
                <w:spacing w:val="0"/>
                <w:sz w:val="21"/>
                <w:szCs w:val="21"/>
              </w:rPr>
            </w:pPr>
          </w:p>
        </w:tc>
      </w:tr>
    </w:tbl>
    <w:p w14:paraId="77BBA4BB">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1"/>
          <w:szCs w:val="21"/>
        </w:rPr>
      </w:pPr>
    </w:p>
    <w:p w14:paraId="08136C31">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b/>
          <w:bCs/>
          <w:sz w:val="21"/>
          <w:szCs w:val="21"/>
        </w:rPr>
      </w:pPr>
      <w:r>
        <w:rPr>
          <w:rFonts w:hint="eastAsia" w:ascii="仿宋" w:hAnsi="仿宋" w:eastAsia="仿宋" w:cs="仿宋"/>
          <w:b/>
          <w:bCs/>
          <w:sz w:val="21"/>
          <w:szCs w:val="21"/>
        </w:rPr>
        <w:t>考生承诺:</w:t>
      </w:r>
    </w:p>
    <w:p w14:paraId="33E23DA9">
      <w:pPr>
        <w:keepNext w:val="0"/>
        <w:keepLines w:val="0"/>
        <w:pageBreakBefore w:val="0"/>
        <w:kinsoku/>
        <w:wordWrap/>
        <w:overflowPunct/>
        <w:topLinePunct w:val="0"/>
        <w:autoSpaceDE/>
        <w:autoSpaceDN/>
        <w:bidi w:val="0"/>
        <w:adjustRightInd/>
        <w:snapToGrid/>
        <w:spacing w:line="260" w:lineRule="exact"/>
        <w:ind w:firstLine="340"/>
        <w:textAlignment w:val="auto"/>
        <w:rPr>
          <w:rFonts w:hint="eastAsia" w:ascii="仿宋" w:hAnsi="仿宋" w:eastAsia="仿宋" w:cs="仿宋"/>
          <w:b/>
          <w:bCs/>
          <w:sz w:val="21"/>
          <w:szCs w:val="21"/>
        </w:rPr>
      </w:pPr>
      <w:r>
        <w:rPr>
          <w:rFonts w:hint="eastAsia" w:ascii="仿宋" w:hAnsi="仿宋" w:eastAsia="仿宋" w:cs="仿宋"/>
          <w:b/>
          <w:bCs/>
          <w:sz w:val="21"/>
          <w:szCs w:val="21"/>
        </w:rPr>
        <w:t>本表所填写的信息应真实准确无误，提交的证书、证件和照片</w:t>
      </w:r>
      <w:r>
        <w:rPr>
          <w:rFonts w:hint="eastAsia" w:ascii="仿宋" w:hAnsi="仿宋" w:eastAsia="仿宋" w:cs="仿宋"/>
          <w:b/>
          <w:bCs/>
          <w:sz w:val="21"/>
          <w:szCs w:val="21"/>
          <w:lang w:eastAsia="zh-CN"/>
        </w:rPr>
        <w:t>及相关佐证材料</w:t>
      </w:r>
      <w:r>
        <w:rPr>
          <w:rFonts w:hint="eastAsia" w:ascii="仿宋" w:hAnsi="仿宋" w:eastAsia="仿宋" w:cs="仿宋"/>
          <w:b/>
          <w:bCs/>
          <w:sz w:val="21"/>
          <w:szCs w:val="21"/>
        </w:rPr>
        <w:t>真实有效，无隐瞒、虚假等行为；若有一项虚假的，人才评价按0分计算。本人愿承担一切责任。</w:t>
      </w:r>
    </w:p>
    <w:p w14:paraId="3535D907">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sz w:val="21"/>
          <w:szCs w:val="21"/>
          <w:lang w:eastAsia="zh-CN"/>
        </w:rPr>
      </w:pPr>
    </w:p>
    <w:p w14:paraId="3F80D1DB">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b/>
          <w:bCs/>
          <w:lang w:val="en-US" w:eastAsia="zh-CN"/>
        </w:rPr>
      </w:pPr>
      <w:r>
        <w:rPr>
          <w:rFonts w:hint="eastAsia" w:ascii="仿宋" w:hAnsi="仿宋" w:eastAsia="仿宋" w:cs="仿宋"/>
          <w:b/>
          <w:bCs/>
          <w:sz w:val="21"/>
          <w:szCs w:val="21"/>
          <w:lang w:eastAsia="zh-CN"/>
        </w:rPr>
        <w:t>身份证号码：</w:t>
      </w:r>
      <w:r>
        <w:rPr>
          <w:rFonts w:hint="eastAsia" w:ascii="仿宋" w:hAnsi="仿宋" w:eastAsia="仿宋" w:cs="仿宋"/>
          <w:b/>
          <w:bCs/>
          <w:sz w:val="21"/>
          <w:szCs w:val="21"/>
          <w:lang w:val="en-US" w:eastAsia="zh-CN"/>
        </w:rPr>
        <w:t xml:space="preserve">                                      本人签字：                                   年   月   日</w:t>
      </w:r>
    </w:p>
    <w:p w14:paraId="475E57C7">
      <w:pPr>
        <w:jc w:val="left"/>
        <w:rPr>
          <w:rFonts w:hint="eastAsia" w:ascii="仿宋_GB2312" w:eastAsia="仿宋_GB2312"/>
          <w:b/>
          <w:bCs/>
          <w:sz w:val="21"/>
          <w:szCs w:val="21"/>
          <w:lang w:val="en-US" w:eastAsia="zh-CN"/>
        </w:rPr>
      </w:pPr>
    </w:p>
    <w:p w14:paraId="6D0C6A09">
      <w:pPr>
        <w:jc w:val="left"/>
        <w:rPr>
          <w:rFonts w:hint="eastAsia" w:ascii="仿宋" w:hAnsi="仿宋" w:eastAsia="仿宋" w:cs="仿宋"/>
          <w:b w:val="0"/>
          <w:spacing w:val="0"/>
          <w:sz w:val="28"/>
          <w:szCs w:val="28"/>
          <w:lang w:val="en-US" w:eastAsia="zh-CN"/>
        </w:rPr>
      </w:pPr>
      <w:r>
        <w:rPr>
          <w:rFonts w:hint="eastAsia" w:ascii="仿宋_GB2312" w:eastAsia="仿宋_GB2312"/>
          <w:b/>
          <w:bCs/>
          <w:sz w:val="21"/>
          <w:szCs w:val="21"/>
          <w:lang w:val="en-US" w:eastAsia="zh-CN"/>
        </w:rPr>
        <w:t>审核人签字：</w:t>
      </w:r>
    </w:p>
    <w:p w14:paraId="20F47776">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奈曼旗</w:t>
      </w:r>
      <w:r>
        <w:rPr>
          <w:rFonts w:hint="eastAsia" w:ascii="方正小标宋简体" w:hAnsi="方正小标宋简体" w:eastAsia="方正小标宋简体" w:cs="方正小标宋简体"/>
          <w:b w:val="0"/>
          <w:bCs/>
          <w:sz w:val="44"/>
          <w:szCs w:val="44"/>
          <w:lang w:eastAsia="zh-CN"/>
        </w:rPr>
        <w:t>事业单位</w:t>
      </w:r>
      <w:r>
        <w:rPr>
          <w:rFonts w:hint="eastAsia" w:ascii="方正小标宋简体" w:hAnsi="方正小标宋简体" w:eastAsia="方正小标宋简体" w:cs="方正小标宋简体"/>
          <w:b w:val="0"/>
          <w:bCs/>
          <w:sz w:val="44"/>
          <w:szCs w:val="44"/>
        </w:rPr>
        <w:t>人才引进</w:t>
      </w:r>
    </w:p>
    <w:p w14:paraId="397CE5A7">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评价表填报说明</w:t>
      </w:r>
    </w:p>
    <w:p w14:paraId="54FD0FC0">
      <w:pPr>
        <w:spacing w:line="560" w:lineRule="exact"/>
        <w:ind w:firstLine="600" w:firstLineChars="200"/>
        <w:rPr>
          <w:rFonts w:ascii="黑体" w:hAnsi="黑体" w:eastAsia="黑体" w:cs="黑体"/>
          <w:b w:val="0"/>
          <w:bCs/>
          <w:sz w:val="32"/>
          <w:szCs w:val="32"/>
        </w:rPr>
      </w:pPr>
    </w:p>
    <w:p w14:paraId="528A4A8D">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ascii="黑体" w:hAnsi="黑体" w:eastAsia="黑体" w:cs="黑体"/>
          <w:b w:val="0"/>
          <w:bCs/>
          <w:sz w:val="32"/>
          <w:szCs w:val="32"/>
        </w:rPr>
        <w:t>一、专业层次方面</w:t>
      </w:r>
    </w:p>
    <w:p w14:paraId="116F87F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color w:val="auto"/>
          <w:sz w:val="32"/>
          <w:szCs w:val="32"/>
          <w:highlight w:val="none"/>
        </w:rPr>
      </w:pPr>
      <w:r>
        <w:rPr>
          <w:rFonts w:ascii="Times New Roman" w:hAnsi="Times New Roman" w:eastAsia="仿宋" w:cs="Times New Roman"/>
          <w:b w:val="0"/>
          <w:bCs/>
          <w:sz w:val="32"/>
          <w:szCs w:val="32"/>
        </w:rPr>
        <w:t>（一</w:t>
      </w:r>
      <w:r>
        <w:rPr>
          <w:rFonts w:hint="eastAsia" w:ascii="Times New Roman" w:hAnsi="Times New Roman" w:eastAsia="仿宋" w:cs="Times New Roman"/>
          <w:b w:val="0"/>
          <w:bCs/>
          <w:sz w:val="32"/>
          <w:szCs w:val="32"/>
          <w:lang w:eastAsia="zh-CN"/>
        </w:rPr>
        <w:t>）</w:t>
      </w:r>
      <w:r>
        <w:rPr>
          <w:rFonts w:hint="eastAsia" w:ascii="Times New Roman" w:hAnsi="Times New Roman" w:eastAsia="仿宋" w:cs="Times New Roman"/>
          <w:b w:val="0"/>
          <w:bCs/>
          <w:color w:val="auto"/>
          <w:sz w:val="32"/>
          <w:szCs w:val="32"/>
          <w:highlight w:val="none"/>
          <w:lang w:val="en-US" w:eastAsia="zh-CN"/>
        </w:rPr>
        <w:t>一流大学</w:t>
      </w:r>
      <w:r>
        <w:rPr>
          <w:rFonts w:ascii="Times New Roman" w:hAnsi="Times New Roman" w:eastAsia="仿宋" w:cs="Times New Roman"/>
          <w:b w:val="0"/>
          <w:bCs/>
          <w:color w:val="auto"/>
          <w:sz w:val="32"/>
          <w:szCs w:val="32"/>
          <w:highlight w:val="none"/>
        </w:rPr>
        <w:t>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562BAD5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color w:val="auto"/>
          <w:sz w:val="32"/>
          <w:szCs w:val="32"/>
          <w:highlight w:val="none"/>
        </w:rPr>
      </w:pPr>
      <w:r>
        <w:rPr>
          <w:rFonts w:ascii="Times New Roman" w:hAnsi="Times New Roman" w:eastAsia="仿宋" w:cs="Times New Roman"/>
          <w:b w:val="0"/>
          <w:bCs/>
          <w:color w:val="auto"/>
          <w:sz w:val="32"/>
          <w:szCs w:val="32"/>
          <w:highlight w:val="none"/>
        </w:rPr>
        <w:t>（二）在一流学科认定上，所学专业须属该学科内专业。</w:t>
      </w:r>
    </w:p>
    <w:p w14:paraId="472A6A42">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color w:val="auto"/>
          <w:sz w:val="32"/>
          <w:szCs w:val="32"/>
          <w:highlight w:val="none"/>
        </w:rPr>
        <w:t>（三）海外学历学校排名以</w:t>
      </w:r>
      <w:r>
        <w:rPr>
          <w:rFonts w:hint="eastAsia" w:ascii="Times New Roman" w:hAnsi="Times New Roman" w:eastAsia="仿宋" w:cs="Times New Roman"/>
          <w:b w:val="0"/>
          <w:bCs/>
          <w:color w:val="auto"/>
          <w:sz w:val="32"/>
          <w:szCs w:val="32"/>
          <w:highlight w:val="none"/>
          <w:lang w:val="en-US" w:eastAsia="zh-CN"/>
        </w:rPr>
        <w:t>2024.2025</w:t>
      </w:r>
      <w:r>
        <w:rPr>
          <w:rFonts w:ascii="Times New Roman" w:hAnsi="Times New Roman" w:eastAsia="仿宋" w:cs="Times New Roman"/>
          <w:b w:val="0"/>
          <w:bCs/>
          <w:color w:val="auto"/>
          <w:sz w:val="32"/>
          <w:szCs w:val="32"/>
          <w:highlight w:val="none"/>
        </w:rPr>
        <w:t>年度世</w:t>
      </w:r>
      <w:r>
        <w:rPr>
          <w:rFonts w:ascii="Times New Roman" w:hAnsi="Times New Roman" w:eastAsia="仿宋" w:cs="Times New Roman"/>
          <w:b w:val="0"/>
          <w:bCs/>
          <w:sz w:val="32"/>
          <w:szCs w:val="32"/>
        </w:rPr>
        <w:t>界综合排名（《QS世界大学排名》、上海软科世界大学排名、泰晤士报《全球顶尖大学排行榜》、U.S.News《全球最佳大学排行榜》之一）为准。</w:t>
      </w:r>
    </w:p>
    <w:p w14:paraId="5DF85A07">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ascii="黑体" w:hAnsi="黑体" w:eastAsia="黑体" w:cs="黑体"/>
          <w:b w:val="0"/>
          <w:bCs/>
          <w:sz w:val="32"/>
          <w:szCs w:val="32"/>
        </w:rPr>
        <w:t>二、科研成果方面</w:t>
      </w:r>
    </w:p>
    <w:p w14:paraId="4DD2A59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t>论文</w:t>
      </w:r>
      <w:r>
        <w:rPr>
          <w:rFonts w:ascii="Times New Roman" w:hAnsi="Times New Roman" w:eastAsia="仿宋" w:cs="Times New Roman"/>
          <w:b w:val="0"/>
          <w:bCs/>
          <w:sz w:val="32"/>
          <w:szCs w:val="32"/>
        </w:rPr>
        <w:t>需提供检索报告、扫描文本</w:t>
      </w:r>
      <w:r>
        <w:rPr>
          <w:rFonts w:hint="eastAsia" w:ascii="Times New Roman" w:hAnsi="Times New Roman" w:eastAsia="仿宋" w:cs="Times New Roman"/>
          <w:b w:val="0"/>
          <w:bCs/>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仿宋" w:cs="Times New Roman"/>
          <w:b w:val="0"/>
          <w:bCs/>
          <w:sz w:val="32"/>
          <w:szCs w:val="32"/>
        </w:rPr>
        <w:t>作品文件、专利证书等材料，实用新型、外观设计专利不得分。</w:t>
      </w:r>
    </w:p>
    <w:p w14:paraId="5E6F82C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三、职业资格方面</w:t>
      </w:r>
    </w:p>
    <w:p w14:paraId="77CFE7F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（一）需提供职业资格证原件及复印件，并可在职业技能证书全国联网查询系统中查询。</w:t>
      </w:r>
    </w:p>
    <w:p w14:paraId="16AB3CE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（二）可按照级别划分的准入类专业技术人员职业资格，如：取得法律职业资格A证得5分。</w:t>
      </w:r>
    </w:p>
    <w:p w14:paraId="1C3C7957">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（三）关于专业技术人员职业资格及职业资格与职称对应关系认定以《国家职业资格目录》及内蒙古自治区人社厅《2020年关于更新公布专业技术类职业资格与职称对应关系表的说明》为准。</w:t>
      </w:r>
    </w:p>
    <w:p w14:paraId="6FF397A8">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6EEEBFF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四、专业技术职称方面</w:t>
      </w:r>
    </w:p>
    <w:p w14:paraId="1B82DAA2">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（一）要求为社会化专业技术职称。</w:t>
      </w:r>
    </w:p>
    <w:p w14:paraId="0D950D3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ascii="Times New Roman" w:hAnsi="Times New Roman" w:eastAsia="仿宋" w:cs="Times New Roman"/>
          <w:b w:val="0"/>
          <w:bCs/>
          <w:sz w:val="32"/>
          <w:szCs w:val="32"/>
        </w:rPr>
        <w:t>（二）需提供职称证，并可在相应查询系统中查询。</w:t>
      </w:r>
    </w:p>
    <w:p w14:paraId="5FB1DB5C">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五、获得奖项方面</w:t>
      </w:r>
    </w:p>
    <w:p w14:paraId="5617A75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0E97452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（二）学校授予的荣誉不计算得分</w:t>
      </w:r>
      <w:r>
        <w:rPr>
          <w:rFonts w:hint="eastAsia" w:ascii="Times New Roman" w:hAnsi="Times New Roman" w:eastAsia="仿宋" w:cs="Times New Roman"/>
          <w:b w:val="0"/>
          <w:bCs/>
          <w:sz w:val="32"/>
          <w:szCs w:val="32"/>
        </w:rPr>
        <w:t>，在校期间获得的各类奖学金不计算得分。</w:t>
      </w:r>
    </w:p>
    <w:p w14:paraId="75C52826">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ascii="Times New Roman" w:hAnsi="Times New Roman" w:eastAsia="仿宋" w:cs="Times New Roman"/>
          <w:b w:val="0"/>
          <w:bCs/>
          <w:sz w:val="32"/>
          <w:szCs w:val="32"/>
        </w:rPr>
      </w:pPr>
      <w:r>
        <w:rPr>
          <w:rFonts w:ascii="Times New Roman" w:hAnsi="Times New Roman" w:eastAsia="仿宋" w:cs="Times New Roman"/>
          <w:b w:val="0"/>
          <w:bCs/>
          <w:sz w:val="32"/>
          <w:szCs w:val="32"/>
        </w:rPr>
        <w:t>（三）各类协会、社会组织、组委会发放证书的不加分。</w:t>
      </w:r>
    </w:p>
    <w:p w14:paraId="463EB2DA">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其他</w:t>
      </w:r>
    </w:p>
    <w:p w14:paraId="2BF5B0CE">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1.特殊人才: SCI、SSCI一区检索超过2篇（含）、二区检索超过3篇（含）、三区检索超过5篇（含）者，人才评价按满分计算（100分），须为第一作者，不含并列第一作者。</w:t>
      </w:r>
    </w:p>
    <w:p w14:paraId="70DA6D76">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2.获得国家级荣誉3项（含）以上者，人才评价按满分计算（100分）。</w:t>
      </w:r>
    </w:p>
    <w:p w14:paraId="12D4275D">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Times New Roman" w:hAnsi="Times New Roman" w:eastAsia="仿宋" w:cs="Times New Roman"/>
          <w:b w:val="0"/>
          <w:bCs/>
          <w:sz w:val="32"/>
          <w:szCs w:val="32"/>
          <w:lang w:val="en-US" w:eastAsia="zh-CN"/>
        </w:rPr>
      </w:pPr>
      <w:r>
        <w:rPr>
          <w:rFonts w:hint="eastAsia" w:ascii="Times New Roman" w:hAnsi="Times New Roman" w:eastAsia="仿宋" w:cs="Times New Roman"/>
          <w:b w:val="0"/>
          <w:bCs/>
          <w:sz w:val="32"/>
          <w:szCs w:val="32"/>
          <w:lang w:val="en-US" w:eastAsia="zh-CN"/>
        </w:rPr>
        <w:t>3.符合条件的博士研究生报名直接进入体检、考察环节。</w:t>
      </w:r>
    </w:p>
    <w:p w14:paraId="42F482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sz w:val="21"/>
          <w:szCs w:val="21"/>
          <w:lang w:val="en-US" w:eastAsia="zh-CN"/>
        </w:rPr>
      </w:pPr>
    </w:p>
    <w:p w14:paraId="29220BCA">
      <w:pPr>
        <w:jc w:val="left"/>
        <w:rPr>
          <w:rFonts w:hint="eastAsia" w:ascii="仿宋" w:hAnsi="仿宋" w:eastAsia="仿宋" w:cs="仿宋"/>
          <w:b w:val="0"/>
          <w:spacing w:val="0"/>
          <w:sz w:val="28"/>
          <w:szCs w:val="28"/>
          <w:lang w:val="en-US" w:eastAsia="zh-CN"/>
        </w:rPr>
      </w:pPr>
    </w:p>
    <w:p w14:paraId="51612545">
      <w:bookmarkStart w:id="0" w:name="_GoBack"/>
      <w:bookmarkEnd w:id="0"/>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F7FA2"/>
    <w:rsid w:val="25034EC9"/>
    <w:rsid w:val="34D97220"/>
    <w:rsid w:val="38C37A27"/>
    <w:rsid w:val="6E4E34B6"/>
    <w:rsid w:val="712062A2"/>
    <w:rsid w:val="771D60FB"/>
    <w:rsid w:val="7F9F7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2026-05-22T03:36:00Z</dcterms:created>
  <dc:creator>念</dc:creator>
  <cp:lastModifiedBy>念</cp:lastModifiedBy>
  <dcterms:modified xsi:type="dcterms:W3CDTF">2026-05-22T03:36:55Z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0EAAC7BD69804BDB933AE44025CC0F26_11</vt:lpwstr>
  </property>
  <property fmtid="{D5CDD505-2E9C-101B-9397-08002B2CF9AE}" pid="4" name="KSOTemplateDocerSaveRecord">
    <vt:lpwstr>eyJoZGlkIjoiYmMzYzNkZjU0YjUwZDg0NGI4OTFmYzYxNTI5MmZiMmIiLCJ1c2VySWQiOiIyNjQ0MDYxMzIifQ==</vt:lpwstr>
  </property>
</Properties>
</file>