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color w:val="auto"/>
          <w:sz w:val="44"/>
          <w:szCs w:val="44"/>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112FE0F1">
      <w:pPr>
        <w:spacing w:line="580" w:lineRule="exact"/>
        <w:jc w:val="center"/>
        <w:rPr>
          <w:rFonts w:hint="eastAsia" w:ascii="方正小标宋简体" w:eastAsia="方正小标宋简体" w:cs="方正小标宋简体"/>
          <w:color w:val="auto"/>
          <w:sz w:val="44"/>
          <w:szCs w:val="44"/>
          <w:lang w:val="en-US" w:eastAsia="zh-CN"/>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w:t>
      </w:r>
      <w:r>
        <w:rPr>
          <w:rFonts w:hint="eastAsia" w:ascii="方正小标宋简体" w:eastAsia="方正小标宋简体" w:cs="方正小标宋简体"/>
          <w:color w:val="auto"/>
          <w:sz w:val="44"/>
          <w:szCs w:val="44"/>
          <w:lang w:val="en-US" w:eastAsia="zh-CN"/>
        </w:rPr>
        <w:t>东营港经济开发区所属学校</w:t>
      </w:r>
    </w:p>
    <w:p w14:paraId="628A44CD">
      <w:pPr>
        <w:spacing w:line="58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p>
    <w:p w14:paraId="0E2CB02F">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1.非普通高等学历教育的其他教育形式的毕业生是否可以应聘?</w:t>
      </w:r>
    </w:p>
    <w:p w14:paraId="337DDA59">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国内非普通高等学历教育的其他教育形式（自学考试、成人教育、网络教育、夜大、电大等）毕业生取得学历学位证书后，符合岗位要求资格条件的，均可应聘。</w:t>
      </w:r>
    </w:p>
    <w:p w14:paraId="2B7538E9">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2.如何理解“在读的非应届毕业生”不得应聘?</w:t>
      </w:r>
    </w:p>
    <w:p w14:paraId="567E7246">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全脱产在校学习的国内普通高等学历教育学生和国（境）外留学人员，于2026年7月31日前无法完成学业并取得学历学位证书的，不得应聘。</w:t>
      </w:r>
    </w:p>
    <w:p w14:paraId="14D6F5F1">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ECF9124">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3.留学回国人员可以应聘哪些岗位，需提供哪些材料?</w:t>
      </w:r>
    </w:p>
    <w:p w14:paraId="79A69B93">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留学回国人员可以根据自身情况应聘符合条件的岗位。</w:t>
      </w:r>
    </w:p>
    <w:p w14:paraId="073A1934">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留学回国人员应聘的，除需提供岗位要求的相关材料外，还须于2026年7月31日以前提供国家教育部门的学历学位认证材料。应聘人员可登录教育部留学服务中心网站（http://www.cscse.edu.cn）查询认证的有关要求和程序。</w:t>
      </w:r>
    </w:p>
    <w:p w14:paraId="1074D6D4">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4.对学历学位及相关证书取得时间有什么要求?</w:t>
      </w:r>
    </w:p>
    <w:p w14:paraId="47C86313">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w:t>
      </w:r>
    </w:p>
    <w:p w14:paraId="3C2737BB">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其他人员的学历、学位证书应在2026年6月16日以前取得。</w:t>
      </w:r>
    </w:p>
    <w:p w14:paraId="51CEB9BA">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岗位其他条件中要求的相关证书采取承诺制，应聘人员报名时应作出2026年7月31日以前取得证书的承诺，未如期取得，本人承担相应后果。</w:t>
      </w:r>
    </w:p>
    <w:p w14:paraId="26F79BA8">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5.岗位计划一览表中所要求的专业如何理解?</w:t>
      </w:r>
    </w:p>
    <w:p w14:paraId="13338E51">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B5290ED">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招聘岗位明确了对应聘人员的专业要求，应聘人员符合教育层次的专业要求即可应聘该岗位，招聘岗位另有要求的，须符合要求。</w:t>
      </w:r>
    </w:p>
    <w:p w14:paraId="4EFBC577">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26B48AB1">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6.本次招聘中的有效身份证件指的是什么?</w:t>
      </w:r>
    </w:p>
    <w:p w14:paraId="54870F03">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7.网上填写报名信息时应注意什么?</w:t>
      </w:r>
    </w:p>
    <w:p w14:paraId="6CD2BDA3">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1556C8B2">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网上报名系统的表项中未能涵盖报考岗位所要求资格条件的，务必在“备注栏”中如实填写。未在“备注栏”中注明的，视同不符合相应条件。其中，岗位其他条件要求相关证书的，应当注明取得证书的级别、编号和取得时间；暂未取得的，应作出2026年7月31日以前取得证书的承诺，未如期取得，本人承担相应后果。</w:t>
      </w:r>
    </w:p>
    <w:p w14:paraId="020462AF">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家庭成员及其主要社会关系（含双方父母、兄弟姐妹、配偶、子女等，已故的须标注），须填写姓名、工作单位及职务，如“**镇**村务农；**公司职工；**社区自由职业者；**学校学生”等。学习和工作经历，须从高中阶段起填写至报名时止，不得间断，高中复课、自学考试、函授等须注明。如“2013.09-2016.07**区第一中学学习；2016.09-2019.07潍坊学院英语专业（专科）学习；2019.07至今待业（其中，2020.08取得山东师范大学英语专业函授本科学历、文学学士学位）”。</w:t>
      </w:r>
    </w:p>
    <w:p w14:paraId="15DF0404">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参考往年情况，报名初始阶段人数较少，资格审查速度较快，报名最后阶段尤其是最后两天报名集中，届时资格审查速度将有所下降。可能影响资格审查进度。建议应聘人员合理安排报名时间，根据本人的专业、意愿和职业规划等尽早报名，尽量在网速较快的环境报名，尽量避免后期集中报名，以免错失报名机会。</w:t>
      </w:r>
    </w:p>
    <w:p w14:paraId="53D2A993">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8.网上报名信息表中的“工作单位”栏如何填写？</w:t>
      </w:r>
    </w:p>
    <w:p w14:paraId="15EA90C4">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东营区***公司（劳务派遣到***单位工作）；如为单位的编外人员等情况，应填写单位名称，并用括号注解说明，例如：***学校（合同制）等。确无工作单位的填“无”。</w:t>
      </w:r>
    </w:p>
    <w:p w14:paraId="224717C8">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9.应聘人员在网上提供的照片有什么要求?</w:t>
      </w:r>
    </w:p>
    <w:p w14:paraId="686548CE">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234E3007">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10.资格审查工作由谁负责?</w:t>
      </w:r>
    </w:p>
    <w:p w14:paraId="02E7985B">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资格审查工作由招聘单位负责。</w:t>
      </w:r>
    </w:p>
    <w:p w14:paraId="233A4C4F">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11.应聘人员在报名时符合应聘条件，但在应聘过程中，自身条件发生变化，不再符合应聘资格条件，应如何处理？</w:t>
      </w:r>
    </w:p>
    <w:p w14:paraId="20530548">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12.未通过资格初审的报名信息能否修改?</w:t>
      </w:r>
    </w:p>
    <w:p w14:paraId="4A800CEF">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2026年6月23日16:00前，单位尚未初审或者初审未通过的，报名人员可以更改、补充报名信息，也可以改报其他岗位。其中，招聘单位要求补充信息的，应当及时完整地补充报名信息。2026年6月23日16:00后，单位尚未初审或者初审未通过的，不能再改报其他岗位。</w:t>
      </w:r>
    </w:p>
    <w:p w14:paraId="1E583DC9">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13.对招聘岗位资格条件有疑问如何咨询?</w:t>
      </w:r>
    </w:p>
    <w:p w14:paraId="0633398A">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对招聘岗位资格条件和其他内容有疑问的，请与招聘单位联系（招聘单位咨询电话详见《岗位计划一览表》）。</w:t>
      </w:r>
    </w:p>
    <w:p w14:paraId="116E203C">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14.什么是岗位改报?</w:t>
      </w:r>
    </w:p>
    <w:p w14:paraId="7B960C87">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为保障广大考生的应聘权利，对于应聘人数达不到规定比例，取消招聘岗位的报名人员，市教育局将组织报名人员在规定时间内改报本次招聘中的其他符合条件岗位。改报只进行一次，未通过资格审查的不能改报。</w:t>
      </w:r>
    </w:p>
    <w:p w14:paraId="509AB041">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如果报名人员不参加岗位改报或没有符合条件的其他岗位不能改报的，考试机构将为其办理考务费退费。请报名人员在确认缴费后，注意关注取消岗位公告，并保持通讯畅通。因通讯不畅或未在规定时间填报、反馈有关信息影响改报的，视为放弃。</w:t>
      </w:r>
    </w:p>
    <w:p w14:paraId="4FFBCAD7">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15.2026年东营市教师公开招聘岗位能否兼报？</w:t>
      </w:r>
    </w:p>
    <w:p w14:paraId="6889D5C0">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2026年东营市教师公开招聘统一笔试，各岗位不能兼报，每名考生限报1个岗位。</w:t>
      </w:r>
    </w:p>
    <w:p w14:paraId="28F7CF95">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16.进入面试的应聘人员需向招聘单位提交哪些证明材料?</w:t>
      </w:r>
    </w:p>
    <w:p w14:paraId="31340E36">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进入面试的应聘人员，需按招聘岗位要求，向招聘单位提交本人相关证明材料、有效身份证件及1寸近期同底版免冠照片2张（须与报名登记表同底版）及《2026年东营市教育系统公开招聘工作人员报名登记表》、《应聘事业单位工作人员诚信承诺书》。相关证明材料主要包括:</w:t>
      </w:r>
    </w:p>
    <w:p w14:paraId="1B0FE654">
      <w:pPr>
        <w:numPr>
          <w:ilvl w:val="0"/>
          <w:numId w:val="1"/>
        </w:num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普通高校2026年应届毕业生，提交有效身份证件、学校核发的就业推荐表。符合教研厅〔2016〕2号和教研厅函〔2019〕1号规定自2016年12月1日后录取且2026年毕业的非全日制研究生，提交有效身份证件、国家承认的学历、学位证书原件及复印件、有效期内的《教育部学历证书电子注册备案表》和有效期内的《中国高等教育学位在线验证报告》（通过“中国高等教育学生信息网”申请打印，带二维码）、学校核发的就业推荐表或其他证明材料，与国（境）内普通高校2026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2026年7月31日以前可取得国（境）外学历学位认证材料的承诺。其他人员，提交有效身份证件、国家承认的学历学位证书（须在2026年6月12日以前取得）。</w:t>
      </w:r>
    </w:p>
    <w:p w14:paraId="6D4F83BF">
      <w:pPr>
        <w:numPr>
          <w:numId w:val="0"/>
        </w:num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2）在职人员应聘的，还须在面试资格审查时提交有用人权限部门或单位出具的同意应聘介绍信。未如期提交，视为放弃。在职人员报名前应充分了解知晓有关法律法规或所在单位及有关主管部门关于是否允许报考、离职的相关规定。</w:t>
      </w:r>
    </w:p>
    <w:p w14:paraId="32FF91A9">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（3）香港和澳门居民中的</w:t>
      </w:r>
      <w:bookmarkStart w:id="0" w:name="_GoBack"/>
      <w:bookmarkEnd w:id="0"/>
      <w:r>
        <w:rPr>
          <w:rFonts w:hint="eastAsia" w:ascii="Times New Roman" w:hAnsi="Times New Roman" w:eastAsia="仿宋_GB2312" w:cs="Times New Roman"/>
          <w:color w:val="000000"/>
          <w:spacing w:val="0"/>
          <w:kern w:val="2"/>
          <w:sz w:val="32"/>
          <w:szCs w:val="32"/>
          <w:lang w:val="en-US" w:eastAsia="zh-CN" w:bidi="ar-SA"/>
        </w:rPr>
        <w:t>中国公民应聘的，还需提供《港澳居民来往内地通行证》。</w:t>
      </w:r>
    </w:p>
    <w:p w14:paraId="38847392">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（4）岗位有其他资格证书要求的，还需提供相应的资格证书。</w:t>
      </w:r>
    </w:p>
    <w:p w14:paraId="06F79B0C">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岗位条件要求的其他证明材料。以上为所需提交的主要材料，具体要求以资格审查公告为准。</w:t>
      </w:r>
    </w:p>
    <w:p w14:paraId="6E84D1F8">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17.考务费减免如何办理?</w:t>
      </w:r>
    </w:p>
    <w:p w14:paraId="030FA824">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拟享受减免考务费用的最低生活保障家庭人员、脱贫享受政策人口和防止返贫监测帮扶对象，可享受考务费减免。考务费减免所需材料包括：</w:t>
      </w:r>
    </w:p>
    <w:p w14:paraId="6E99EBDB">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（2）本人身份证及联系电话。</w:t>
      </w:r>
    </w:p>
    <w:p w14:paraId="404850AE">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应聘人员须在规定时间内办理减免手续，逾期视作放弃应聘资格。</w:t>
      </w:r>
    </w:p>
    <w:p w14:paraId="66BE2C52">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18.考察时需要对应聘人员进行资格复审吗？</w:t>
      </w:r>
    </w:p>
    <w:p w14:paraId="52BAB636">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19.违纪违规及存在不诚信情形的应聘人员如何处理?</w:t>
      </w:r>
    </w:p>
    <w:p w14:paraId="42F6011B">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应聘人员要严格遵守公开招聘的相关政策规定，遵从事业单位人事综合管理部门、教育主管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5844AD3">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20.中小学教师类岗位对教师资格证取得有什么要求？</w:t>
      </w:r>
    </w:p>
    <w:p w14:paraId="46500911">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应聘人员应于2026年7月31日前取得要求的教师资格证书，否则视为不符合应聘条件，取消应聘资格。</w:t>
      </w:r>
    </w:p>
    <w:p w14:paraId="6FE7C311">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21.事业单位对应聘岗位最低服务年限有何要求？</w:t>
      </w:r>
    </w:p>
    <w:p w14:paraId="42221FE9">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聘用人员最低服务年限6年（含试用期）。在聘用合同中单独签订最低服务年限协议，合同双方应严格履行合同约定。未满最低服务年限的，不得报考公务员和到其他企事业单位应聘或办理调配手续。</w:t>
      </w:r>
    </w:p>
    <w:p w14:paraId="404E5FE7">
      <w:pPr>
        <w:spacing w:line="580" w:lineRule="exact"/>
        <w:ind w:firstLine="643" w:firstLineChars="200"/>
        <w:rPr>
          <w:rFonts w:hint="eastAsia" w:ascii="Times New Roman" w:hAnsi="Times New Roman" w:eastAsia="仿宋_GB2312" w:cs="Times New Roman"/>
          <w:b/>
          <w:bCs/>
          <w:color w:val="000000"/>
          <w:spacing w:val="0"/>
          <w:kern w:val="2"/>
          <w:sz w:val="32"/>
          <w:szCs w:val="32"/>
          <w:lang w:val="en-US" w:eastAsia="zh-CN" w:bidi="ar-SA"/>
        </w:rPr>
      </w:pPr>
      <w:r>
        <w:rPr>
          <w:rFonts w:hint="eastAsia" w:ascii="Times New Roman" w:hAnsi="Times New Roman" w:eastAsia="仿宋_GB2312" w:cs="Times New Roman"/>
          <w:b/>
          <w:bCs/>
          <w:color w:val="000000"/>
          <w:spacing w:val="0"/>
          <w:kern w:val="2"/>
          <w:sz w:val="32"/>
          <w:szCs w:val="32"/>
          <w:lang w:val="en-US" w:eastAsia="zh-CN" w:bidi="ar-SA"/>
        </w:rPr>
        <w:t>22.是否有指定的考试辅导书和培训班?</w:t>
      </w:r>
    </w:p>
    <w:p w14:paraId="3F109C42">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东营港经济开发区所属学校公开招聘统一考试不指定考试教材和辅导用书，不举办也不授权或委托任何机构举办考试辅导培训班。</w:t>
      </w:r>
    </w:p>
    <w:p w14:paraId="3C977A65">
      <w:pPr>
        <w:spacing w:line="580" w:lineRule="exact"/>
        <w:ind w:firstLine="640" w:firstLineChars="200"/>
        <w:rPr>
          <w:rFonts w:hint="eastAsia" w:ascii="Times New Roman" w:hAnsi="Times New Roman" w:eastAsia="仿宋_GB2312" w:cs="Times New Roman"/>
          <w:color w:val="000000"/>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D0938"/>
    <w:multiLevelType w:val="singleLevel"/>
    <w:tmpl w:val="9AAD09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18F65054"/>
    <w:rsid w:val="1D440BCC"/>
    <w:rsid w:val="1F39038B"/>
    <w:rsid w:val="1FF438DF"/>
    <w:rsid w:val="20C4005A"/>
    <w:rsid w:val="21354AB4"/>
    <w:rsid w:val="213A031C"/>
    <w:rsid w:val="21885672"/>
    <w:rsid w:val="22F76927"/>
    <w:rsid w:val="237B75EC"/>
    <w:rsid w:val="23863CED"/>
    <w:rsid w:val="243D4CEC"/>
    <w:rsid w:val="24BA62E4"/>
    <w:rsid w:val="25B61F3B"/>
    <w:rsid w:val="25D65BB2"/>
    <w:rsid w:val="268679A8"/>
    <w:rsid w:val="27335F39"/>
    <w:rsid w:val="274170BA"/>
    <w:rsid w:val="280F0F89"/>
    <w:rsid w:val="286E6AFD"/>
    <w:rsid w:val="28B409B4"/>
    <w:rsid w:val="2DD85145"/>
    <w:rsid w:val="30203C3D"/>
    <w:rsid w:val="32621BB5"/>
    <w:rsid w:val="340F388A"/>
    <w:rsid w:val="35323AC2"/>
    <w:rsid w:val="375A6BCB"/>
    <w:rsid w:val="3E4F49CA"/>
    <w:rsid w:val="3EFD4B4C"/>
    <w:rsid w:val="42B41C5B"/>
    <w:rsid w:val="4C491FB4"/>
    <w:rsid w:val="4E402B66"/>
    <w:rsid w:val="4EDE7C89"/>
    <w:rsid w:val="54AA6B53"/>
    <w:rsid w:val="56290384"/>
    <w:rsid w:val="59012EF2"/>
    <w:rsid w:val="5A366BCB"/>
    <w:rsid w:val="5B4F48F9"/>
    <w:rsid w:val="5BB22BCA"/>
    <w:rsid w:val="5DC604BD"/>
    <w:rsid w:val="5F334021"/>
    <w:rsid w:val="60C2565D"/>
    <w:rsid w:val="615D7134"/>
    <w:rsid w:val="622639C9"/>
    <w:rsid w:val="6383363E"/>
    <w:rsid w:val="675A04C5"/>
    <w:rsid w:val="68827EA0"/>
    <w:rsid w:val="68FC341B"/>
    <w:rsid w:val="6A8B2F63"/>
    <w:rsid w:val="6B9E0A74"/>
    <w:rsid w:val="70755BB9"/>
    <w:rsid w:val="70FC0717"/>
    <w:rsid w:val="71A87F57"/>
    <w:rsid w:val="71CF7BDA"/>
    <w:rsid w:val="73EF1E6D"/>
    <w:rsid w:val="74493C73"/>
    <w:rsid w:val="76A535A0"/>
    <w:rsid w:val="76CB5684"/>
    <w:rsid w:val="78047EB1"/>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4893</Words>
  <Characters>5130</Characters>
  <Lines>33</Lines>
  <Paragraphs>9</Paragraphs>
  <TotalTime>13</TotalTime>
  <ScaleCrop>false</ScaleCrop>
  <LinksUpToDate>false</LinksUpToDate>
  <CharactersWithSpaces>5132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攸妍窝</cp:lastModifiedBy>
  <cp:lastPrinted>2025-05-12T07:36:00Z</cp:lastPrinted>
  <dcterms:modified xsi:type="dcterms:W3CDTF">2026-06-11T06:55:42Z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9415C6314D36478DBB182D53D0B80460</vt:lpwstr>
  </property>
  <property fmtid="{D5CDD505-2E9C-101B-9397-08002B2CF9AE}" pid="4" name="KSOTemplateDocerSaveRecord">
    <vt:lpwstr>eyJoZGlkIjoiZDhlMTM4OGVkZTNjMmVlODdjZjE1YzllY2U1OGJiMDEiLCJ1c2VySWQiOiIzMTExMTcyMTAifQ==</vt:lpwstr>
  </property>
</Properties>
</file>