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0C0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ascii="黑体" w:hAnsi="宋体" w:eastAsia="黑体" w:cs="黑体"/>
          <w:i w:val="0"/>
          <w:iCs w:val="0"/>
          <w:caps w:val="0"/>
          <w:color w:val="333333"/>
          <w:spacing w:val="0"/>
          <w:kern w:val="0"/>
          <w:sz w:val="32"/>
          <w:szCs w:val="32"/>
          <w:bdr w:val="none" w:color="auto" w:sz="0" w:space="0"/>
          <w:shd w:val="clear" w:fill="FFFFFF"/>
          <w:lang w:val="en-US" w:eastAsia="zh-CN" w:bidi="ar"/>
        </w:rPr>
        <w:t>附件</w:t>
      </w: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2</w:t>
      </w:r>
    </w:p>
    <w:p w14:paraId="4A4F50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6" w:afterAutospacing="0" w:line="500" w:lineRule="atLeast"/>
        <w:ind w:left="0" w:right="0" w:firstLine="0"/>
        <w:jc w:val="center"/>
        <w:rPr>
          <w:rFonts w:hint="eastAsia" w:ascii="宋体" w:hAnsi="宋体" w:eastAsia="宋体" w:cs="宋体"/>
          <w:i w:val="0"/>
          <w:iCs w:val="0"/>
          <w:caps w:val="0"/>
          <w:color w:val="333333"/>
          <w:spacing w:val="0"/>
          <w:sz w:val="24"/>
          <w:szCs w:val="24"/>
        </w:rPr>
      </w:pPr>
      <w:r>
        <w:rPr>
          <w:rFonts w:ascii="方正小标宋简体" w:hAnsi="方正小标宋简体" w:eastAsia="方正小标宋简体" w:cs="方正小标宋简体"/>
          <w:b/>
          <w:bCs/>
          <w:i w:val="0"/>
          <w:iCs w:val="0"/>
          <w:caps w:val="0"/>
          <w:color w:val="333333"/>
          <w:spacing w:val="0"/>
          <w:kern w:val="0"/>
          <w:sz w:val="32"/>
          <w:szCs w:val="32"/>
          <w:bdr w:val="none" w:color="auto" w:sz="0" w:space="0"/>
          <w:shd w:val="clear" w:fill="FFFFFF"/>
          <w:lang w:val="en-US" w:eastAsia="zh-CN" w:bidi="ar"/>
        </w:rPr>
        <w:t>仙游县教师进修学校教研员选调量化考核评分标准</w:t>
      </w:r>
    </w:p>
    <w:tbl>
      <w:tblPr>
        <w:tblW w:w="9537"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76"/>
        <w:gridCol w:w="696"/>
        <w:gridCol w:w="456"/>
        <w:gridCol w:w="1675"/>
        <w:gridCol w:w="2504"/>
        <w:gridCol w:w="2416"/>
        <w:gridCol w:w="1314"/>
      </w:tblGrid>
      <w:tr w14:paraId="5EA1D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86" w:hRule="atLeast"/>
        </w:trPr>
        <w:tc>
          <w:tcPr>
            <w:tcW w:w="950"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236155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bookmarkStart w:id="0" w:name="_GoBack"/>
            <w:r>
              <w:rPr>
                <w:rFonts w:hint="eastAsia" w:ascii="宋体" w:hAnsi="宋体" w:eastAsia="宋体" w:cs="宋体"/>
                <w:i w:val="0"/>
                <w:iCs w:val="0"/>
                <w:caps w:val="0"/>
                <w:color w:val="333333"/>
                <w:spacing w:val="0"/>
                <w:kern w:val="0"/>
                <w:sz w:val="24"/>
                <w:szCs w:val="24"/>
                <w:bdr w:val="none" w:color="auto" w:sz="0" w:space="0"/>
                <w:lang w:val="en-US" w:eastAsia="zh-CN" w:bidi="ar"/>
              </w:rPr>
              <w:t>项目</w:t>
            </w:r>
          </w:p>
        </w:tc>
        <w:tc>
          <w:tcPr>
            <w:tcW w:w="42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826E7C9">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分值</w:t>
            </w:r>
          </w:p>
        </w:tc>
        <w:tc>
          <w:tcPr>
            <w:tcW w:w="171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1B95AF9">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要素</w:t>
            </w:r>
          </w:p>
        </w:tc>
        <w:tc>
          <w:tcPr>
            <w:tcW w:w="260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D847661">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材料提供与审核办法</w:t>
            </w:r>
          </w:p>
        </w:tc>
        <w:tc>
          <w:tcPr>
            <w:tcW w:w="24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750812C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评分标准</w:t>
            </w:r>
          </w:p>
        </w:tc>
        <w:tc>
          <w:tcPr>
            <w:tcW w:w="133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93BFC5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说明</w:t>
            </w:r>
          </w:p>
        </w:tc>
      </w:tr>
      <w:tr w14:paraId="1A69C1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432" w:hRule="atLeast"/>
        </w:trPr>
        <w:tc>
          <w:tcPr>
            <w:tcW w:w="47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1355C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基本条件</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F5CE8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学历职称</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F0AF8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5分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4F9E4F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国民教育序列大学本科及以上学历，一级及以上职称</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DD9E6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提供学历复印件和职称复印件，申报时带原件核对。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B3353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①硕士研究生及以上2分，本科1分。</w:t>
            </w:r>
          </w:p>
          <w:p w14:paraId="7165AEB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②正高3分、高级2分、一级1分。</w:t>
            </w:r>
          </w:p>
        </w:tc>
        <w:tc>
          <w:tcPr>
            <w:tcW w:w="133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11A627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以本学科最高学历、学位、职称计。</w:t>
            </w:r>
          </w:p>
        </w:tc>
      </w:tr>
      <w:tr w14:paraId="7ED863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132" w:hRule="atLeast"/>
        </w:trPr>
        <w:tc>
          <w:tcPr>
            <w:tcW w:w="47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ACE15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师德表现方面</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884286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年度</w:t>
            </w:r>
          </w:p>
          <w:p w14:paraId="0AF42A2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考核与表彰</w:t>
            </w:r>
          </w:p>
          <w:p w14:paraId="7F1B934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firstLine="21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1B9F0E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A704DD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2020.9- 2025.8学年度考核均为合格及以上；2026年8月之前县级及以上综合表彰和专项表彰</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5ACF49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提供年度考核表、县级及以上综合性表彰、专项表彰证书（或文件）复印件，申报时带原件核对。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6F134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①年度考核合格得1分/次，年度考核优秀2分/次。</w:t>
            </w:r>
          </w:p>
          <w:p w14:paraId="2CDFC7A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②获得县级综合性表彰得3分/次,专项表彰得2分/次。</w:t>
            </w:r>
          </w:p>
          <w:p w14:paraId="7252F5D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③获得市级及以上综合性表彰得5分/次,专项表彰得3分/次。</w:t>
            </w:r>
          </w:p>
          <w:p w14:paraId="090C34A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④封顶10分。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19808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县级及以上综合性表彰、专项表彰参照《福建省中小学教师水平评价标准条件》。县级及以上教育教学方面的专项表彰以公章为准。</w:t>
            </w:r>
          </w:p>
        </w:tc>
      </w:tr>
      <w:tr w14:paraId="2C1B9B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66" w:hRule="atLeast"/>
        </w:trPr>
        <w:tc>
          <w:tcPr>
            <w:tcW w:w="47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4B908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教学工作方面</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B54785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教学</w:t>
            </w:r>
          </w:p>
          <w:p w14:paraId="342E9B6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业绩及竞赛情况</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93DFFB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30分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A7F91C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各类名优教师的认定时间为2026年8月之前；</w:t>
            </w:r>
          </w:p>
          <w:p w14:paraId="5E311CE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学科教学竞赛获得突出成绩须在2026年8月之前，且是各级教育行政部门、或教学业务管理部门主办的学科竞赛活动。</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968E8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提供各类名优教师证书（或确认文件）复印件，提供学科教学竞赛中获得突出成绩的证明材料复印件，申报时带原件核对。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BFECC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①学科兼职教研员、中心组成员或名师工作室成员县级、市级及以上分别得5分、10分。以一种身份统计，不累加。</w:t>
            </w:r>
          </w:p>
          <w:p w14:paraId="0AA7803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②县、市、省骨干教师分别得3分、5分8分；县、市、省学科带头人分别得8分、15分、25分；县、市、省领衔名师分别得10分、15分、25分。取最高项，不累加。</w:t>
            </w:r>
          </w:p>
          <w:p w14:paraId="312D665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③学科教学竞赛获县一二等奖或市级三等奖得5分/次，获市级二等奖以上得8分/次。教师同一届的系列比赛或同一学生同一项目的系列比赛，只取最高奖项，不重复得分。</w:t>
            </w:r>
          </w:p>
          <w:p w14:paraId="3EE464D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④封顶30分。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1D1A51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竞赛中获得突出成绩指指导的学生获县级二等奖及以上奖励表彰或本人获教学竞赛奖项（含优质课、公开课、教学设计、课件、优秀课例、案例、说课、作业设计等，不含省市县综合类教学技能大赛）。</w:t>
            </w:r>
          </w:p>
        </w:tc>
      </w:tr>
      <w:tr w14:paraId="4D8C14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19" w:hRule="atLeast"/>
        </w:trPr>
        <w:tc>
          <w:tcPr>
            <w:tcW w:w="477"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93909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教科研引领方</w:t>
            </w:r>
          </w:p>
          <w:p w14:paraId="7FC798C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面</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EB633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课题</w:t>
            </w:r>
          </w:p>
          <w:p w14:paraId="2F2E037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研究</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8A235B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F0CBA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2026年8月之前主持各级（或参与）课题研究，课题研究除说明外，其他要求参照《福建省中小学教师水平评价标准条件》执行。</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4AAFA5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提供立项、结题证书及文件的复印件，需立项证书、结题证书、申报立项书和结题评审书上有考核对象姓名。申报时带原件核对。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1466A2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①主持县级课题（或参与市级课题）得2分/个。</w:t>
            </w:r>
          </w:p>
          <w:p w14:paraId="40EA8CE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②主持市级（或参与省级）得5分/个。</w:t>
            </w:r>
          </w:p>
          <w:p w14:paraId="3670A09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③主持省级（或参与国家级）及以上课题得10分/个。</w:t>
            </w:r>
          </w:p>
          <w:p w14:paraId="1BB4D6D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④同一主题的课题，取最高奖项得分，封顶10分。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2A71B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主持是指课题立项申请人或负责人；参与是指课题组成员，不必是核心成员。</w:t>
            </w:r>
          </w:p>
        </w:tc>
      </w:tr>
      <w:tr w14:paraId="6EB90F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56" w:hRule="atLeast"/>
        </w:trPr>
        <w:tc>
          <w:tcPr>
            <w:tcW w:w="477"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75017AD">
            <w:pPr>
              <w:jc w:val="left"/>
              <w:rPr>
                <w:rFonts w:hint="eastAsia" w:ascii="宋体" w:hAnsi="宋体" w:eastAsia="宋体" w:cs="宋体"/>
                <w:i w:val="0"/>
                <w:iCs w:val="0"/>
                <w:caps w:val="0"/>
                <w:color w:val="333333"/>
                <w:spacing w:val="0"/>
                <w:sz w:val="24"/>
                <w:szCs w:val="24"/>
              </w:rPr>
            </w:pP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AE9C1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论文、论著等教科研成果</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E6B39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0F0E77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2026年8月之前撰写、发表学科教育教学论文或论著，教学成果获市级以上表彰，除说明外参照《福建省中小学教师水平评价标准条件》执行。</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60377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提供发表的学科教育教学论文（含研究报告、经验总结）的期刊杂志复印件（含首页、目录和论文），教学成果获奖证书复印件，带原件核对。论著提供原件。</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0CC75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①CN论文5分/篇，中文核心期刊10分/篇，论著10分/本。</w:t>
            </w:r>
          </w:p>
          <w:p w14:paraId="57B9374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②获得省级教学成果奖一等奖及以上得10分/次（项），省级二三等奖及市一等奖得8分/次（项），市级二三等奖得6分/次（项）。</w:t>
            </w:r>
          </w:p>
          <w:p w14:paraId="3BA9278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③封顶10分。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BD415B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论文、论著、教学成果奖非第一作者得分减半。</w:t>
            </w:r>
          </w:p>
        </w:tc>
      </w:tr>
      <w:tr w14:paraId="5D28D8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154" w:hRule="atLeast"/>
        </w:trPr>
        <w:tc>
          <w:tcPr>
            <w:tcW w:w="477"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15937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示范辐射作用方面</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7CED7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指导</w:t>
            </w:r>
          </w:p>
          <w:p w14:paraId="6620CB7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培养</w:t>
            </w:r>
          </w:p>
          <w:p w14:paraId="1A0C08C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青年</w:t>
            </w:r>
          </w:p>
          <w:p w14:paraId="6CB68F0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教师</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6105F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5分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8799A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2026年8月之前指导培养青年教师、县级以上骨干教师或学科带头人，或担任教师培训专业导师。</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277275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结对指导协议书、指导内容和计划、指导过程记录，需加盖被指导对象任职学校公章。担任教师培训班专业导师的，只需培训主办方或承办方提供的相关工作证明即可。提供相关证明材料的复印件，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A959B7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①指导青年教师、县级及以上名师工作室成员或骨干教师、学科带头人（含培养对象）得1分/人，封顶3分。②指导培养教师开设县级及以上三课（公开课、示范课、观摩课）得1分/人次。</w:t>
            </w:r>
          </w:p>
          <w:p w14:paraId="03BCA5E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③指导培养教师在教学技能竞赛等活动中获县二等奖及以上的得1分/人次。④担任县级及以上教师培训专业导师得2分/次。⑤封顶5分。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0B4AF1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tc>
      </w:tr>
      <w:tr w14:paraId="08EC9C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19" w:hRule="atLeast"/>
        </w:trPr>
        <w:tc>
          <w:tcPr>
            <w:tcW w:w="477"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16CDC3B">
            <w:pPr>
              <w:jc w:val="left"/>
              <w:rPr>
                <w:rFonts w:hint="eastAsia" w:ascii="宋体" w:hAnsi="宋体" w:eastAsia="宋体" w:cs="宋体"/>
                <w:i w:val="0"/>
                <w:iCs w:val="0"/>
                <w:caps w:val="0"/>
                <w:color w:val="333333"/>
                <w:spacing w:val="0"/>
                <w:sz w:val="24"/>
                <w:szCs w:val="24"/>
              </w:rPr>
            </w:pP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92127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公开</w:t>
            </w:r>
          </w:p>
          <w:p w14:paraId="4A8CEB1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课或</w:t>
            </w:r>
          </w:p>
          <w:p w14:paraId="0548970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专题</w:t>
            </w:r>
          </w:p>
          <w:p w14:paraId="3C7C766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讲座</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8DFB6E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15分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5A76F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2026年8月之前开设县级及以上公开课或专题讲座，参与县级及以上“送教送培”活动、主持片区及以上教研活动。认定标准参照《福建省中小学教师水平评价标准条件》。</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1A4FE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县级及以上公开课或讲座需提供主办方证明及文件。</w:t>
            </w:r>
          </w:p>
          <w:p w14:paraId="5A851BB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参与县级及以上“送教送培”活动、主持片区及以上教研活动的证明及佐证材料（活动文件复印件、签到表、活动过程记录等）。</w:t>
            </w:r>
          </w:p>
          <w:p w14:paraId="446EE4A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申报时提供复印件，带原件核对。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13B65D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①公开课或讲座县级得2分/次，封顶8分。</w:t>
            </w:r>
          </w:p>
          <w:p w14:paraId="4A7CF94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②公开课或讲座市级及以上得5分/次。</w:t>
            </w:r>
          </w:p>
          <w:p w14:paraId="55DE7F9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③参与开展县级及以上“送教送培”或主持学科中心组相关活动、片区及以上教研活动得2分/次。</w:t>
            </w:r>
          </w:p>
          <w:p w14:paraId="021FB32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④封顶15分。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05490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“一师一优课”（含精品课）比赛按福建省相关规定认定为降一个等级的公开课。</w:t>
            </w:r>
          </w:p>
        </w:tc>
      </w:tr>
      <w:tr w14:paraId="0C686B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30" w:hRule="atLeast"/>
        </w:trPr>
        <w:tc>
          <w:tcPr>
            <w:tcW w:w="47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7E0394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专业发展方面</w:t>
            </w:r>
          </w:p>
        </w:tc>
        <w:tc>
          <w:tcPr>
            <w:tcW w:w="4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660CD4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综合类教学技能大赛和各级各类命题</w:t>
            </w:r>
          </w:p>
        </w:tc>
        <w:tc>
          <w:tcPr>
            <w:tcW w:w="4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BE0F9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15分</w:t>
            </w:r>
          </w:p>
        </w:tc>
        <w:tc>
          <w:tcPr>
            <w:tcW w:w="17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CAE02A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2026年8月之前参加省市县中小学教师教学技能大赛，包括教师教学技能大赛（综合类）、教学评实践能力比赛、青年教师教学基本功比赛；</w:t>
            </w:r>
          </w:p>
          <w:p w14:paraId="33A2048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2026年8月之前参加省市县质检、中高考命题。</w:t>
            </w:r>
          </w:p>
        </w:tc>
        <w:tc>
          <w:tcPr>
            <w:tcW w:w="2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78C78A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提供获奖证书或参加命题的相关证明材料的复印件，申报时带原件核对。</w:t>
            </w:r>
          </w:p>
        </w:tc>
        <w:tc>
          <w:tcPr>
            <w:tcW w:w="249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47C523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①技能大赛县级一二等奖、市级三等奖得8分/次；市级一二等奖、省三等奖得10分/次；市特等奖、省一二等奖得12分/次；省特等奖得15分/次</w:t>
            </w:r>
          </w:p>
          <w:p w14:paraId="1CDF8D6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②县、市、省级质检命题分别得2分、3分、5分/次；中考命题得10/次，高考命题得15分/次。</w:t>
            </w:r>
          </w:p>
          <w:p w14:paraId="186640F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③封顶15分。</w:t>
            </w:r>
          </w:p>
        </w:tc>
        <w:tc>
          <w:tcPr>
            <w:tcW w:w="133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B2C5E2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同一届教学（技能）大赛取最高奖项，不累加。不同届技能大赛可各取最高奖项累加。</w:t>
            </w:r>
          </w:p>
        </w:tc>
      </w:tr>
      <w:tr w14:paraId="70F443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55" w:hRule="atLeast"/>
        </w:trPr>
        <w:tc>
          <w:tcPr>
            <w:tcW w:w="47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705937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备注</w:t>
            </w:r>
          </w:p>
        </w:tc>
        <w:tc>
          <w:tcPr>
            <w:tcW w:w="9060"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20A21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0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1.同一奖项不在不同项目中重复使用得分；2.本考评办法解释权归本次选调工作的组织实施者。</w:t>
            </w:r>
          </w:p>
        </w:tc>
      </w:tr>
      <w:bookmarkEnd w:id="0"/>
    </w:tbl>
    <w:p w14:paraId="7FA807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ico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8CF3C50" w:usb2="00000016" w:usb3="00000000" w:csb0="0004001F" w:csb1="00000000"/>
  </w:font>
  <w:font w:name="国标仿宋-GB/T 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C3DE0"/>
    <w:rsid w:val="318C3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27</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2026-08-13T00:53:00Z</dcterms:created>
  <dc:creator>水无鱼</dc:creator>
  <cp:lastModifiedBy>水无鱼</cp:lastModifiedBy>
  <dcterms:modified xsi:type="dcterms:W3CDTF">2026-08-13T08:18:43Z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3F2C2EF7412D455AA6D190C8FB37025D_11</vt:lpwstr>
  </property>
  <property fmtid="{D5CDD505-2E9C-101B-9397-08002B2CF9AE}" pid="4" name="KSOTemplateDocerSaveRecord">
    <vt:lpwstr>eyJoZGlkIjoiMWQ0NjAxYzAxMTNkNmYxZjJlNTJiMzdkNDMzNzA0YzMiLCJ1c2VySWQiOiIyMzEwMTIzODgifQ==</vt:lpwstr>
  </property>
</Properties>
</file>