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Style w:val="8"/>
          <w:rFonts w:hint="eastAsia" w:ascii="宋体" w:hAnsi="宋体" w:cs="宋体"/>
          <w:b/>
          <w:sz w:val="36"/>
          <w:szCs w:val="36"/>
        </w:rPr>
        <w:t>宁波市卫生健康委部分直属事业单位公开招聘高层次人才公告（第二批）</w:t>
      </w:r>
    </w:p>
    <w:tbl>
      <w:tblPr>
        <w:tblStyle w:val="6"/>
        <w:tblW w:w="10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79"/>
        <w:gridCol w:w="784"/>
        <w:gridCol w:w="2177"/>
        <w:gridCol w:w="3336"/>
        <w:gridCol w:w="720"/>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Align w:val="center"/>
          </w:tcPr>
          <w:p>
            <w:pPr>
              <w:spacing w:after="0"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w:t>
            </w:r>
          </w:p>
          <w:p>
            <w:pPr>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单位</w:t>
            </w:r>
          </w:p>
        </w:tc>
        <w:tc>
          <w:tcPr>
            <w:tcW w:w="879" w:type="dxa"/>
            <w:vAlign w:val="center"/>
          </w:tcPr>
          <w:p>
            <w:pPr>
              <w:spacing w:after="0"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w:t>
            </w:r>
          </w:p>
          <w:p>
            <w:pPr>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岗位</w:t>
            </w:r>
          </w:p>
        </w:tc>
        <w:tc>
          <w:tcPr>
            <w:tcW w:w="784" w:type="dxa"/>
            <w:vAlign w:val="center"/>
          </w:tcPr>
          <w:p>
            <w:pPr>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人数</w:t>
            </w:r>
          </w:p>
        </w:tc>
        <w:tc>
          <w:tcPr>
            <w:tcW w:w="2177" w:type="dxa"/>
            <w:vAlign w:val="center"/>
          </w:tcPr>
          <w:p>
            <w:pPr>
              <w:spacing w:after="0"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岗位</w:t>
            </w:r>
          </w:p>
          <w:p>
            <w:pPr>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职责</w:t>
            </w:r>
          </w:p>
        </w:tc>
        <w:tc>
          <w:tcPr>
            <w:tcW w:w="3336" w:type="dxa"/>
            <w:vAlign w:val="center"/>
          </w:tcPr>
          <w:p>
            <w:pPr>
              <w:spacing w:after="0"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招聘专业及</w:t>
            </w:r>
          </w:p>
          <w:p>
            <w:pPr>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学历（学位）要求</w:t>
            </w:r>
          </w:p>
        </w:tc>
        <w:tc>
          <w:tcPr>
            <w:tcW w:w="720" w:type="dxa"/>
            <w:vAlign w:val="center"/>
          </w:tcPr>
          <w:p>
            <w:pPr>
              <w:spacing w:after="0"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w:t>
            </w:r>
          </w:p>
          <w:p>
            <w:pPr>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范围</w:t>
            </w:r>
          </w:p>
        </w:tc>
        <w:tc>
          <w:tcPr>
            <w:tcW w:w="1817" w:type="dxa"/>
            <w:vAlign w:val="center"/>
          </w:tcPr>
          <w:p>
            <w:pPr>
              <w:spacing w:after="0"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其他资格</w:t>
            </w:r>
          </w:p>
          <w:p>
            <w:pPr>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Merge w:val="restart"/>
            <w:vAlign w:val="center"/>
          </w:tcPr>
          <w:p>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宁波市医疗中心李惠利医院</w:t>
            </w:r>
          </w:p>
          <w:p>
            <w:pPr>
              <w:widowControl/>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30</w:t>
            </w:r>
            <w:r>
              <w:rPr>
                <w:rFonts w:ascii="Times New Roman" w:hAnsi="Times New Roman" w:eastAsia="宋体" w:cs="Times New Roman"/>
                <w:kern w:val="0"/>
                <w:sz w:val="18"/>
                <w:szCs w:val="18"/>
              </w:rPr>
              <w:t>名）</w:t>
            </w:r>
          </w:p>
        </w:tc>
        <w:tc>
          <w:tcPr>
            <w:tcW w:w="879" w:type="dxa"/>
            <w:vAlign w:val="center"/>
          </w:tcPr>
          <w:p>
            <w:pPr>
              <w:widowControl/>
              <w:spacing w:after="0" w:line="2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临床</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24</w:t>
            </w:r>
          </w:p>
        </w:tc>
        <w:tc>
          <w:tcPr>
            <w:tcW w:w="2177"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各科日常诊断、治疗、教学、科研等工作</w:t>
            </w:r>
          </w:p>
        </w:tc>
        <w:tc>
          <w:tcPr>
            <w:tcW w:w="3336"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普外科学、胸外科学、神经外科学、泌尿外科学、耳鼻咽喉头颈外科学、眼科学、骨外科学、妇产科学、麻醉学、血液病学、心血管内科学、神经病学、消化内科学、呼吸病学、康复医学、危重病学、肾脏病学、风湿免疫学、血管外科学、皮肤病与性病学、感染病学、口腔医学、急诊医学等专业；</w:t>
            </w:r>
          </w:p>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研究生学历且博士学位</w:t>
            </w:r>
          </w:p>
        </w:tc>
        <w:tc>
          <w:tcPr>
            <w:tcW w:w="720" w:type="dxa"/>
            <w:vMerge w:val="restart"/>
            <w:vAlign w:val="center"/>
          </w:tcPr>
          <w:p>
            <w:pPr>
              <w:widowControl/>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全国范围</w:t>
            </w:r>
          </w:p>
        </w:tc>
        <w:tc>
          <w:tcPr>
            <w:tcW w:w="1817" w:type="dxa"/>
            <w:vMerge w:val="restart"/>
            <w:vAlign w:val="center"/>
          </w:tcPr>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rPr>
              <w:t>6</w:t>
            </w:r>
            <w:r>
              <w:rPr>
                <w:rFonts w:ascii="Times New Roman" w:hAnsi="Times New Roman" w:cs="Times New Roman"/>
                <w:bCs/>
                <w:sz w:val="18"/>
                <w:szCs w:val="18"/>
              </w:rPr>
              <w:t>年普通高校应届毕业生；</w:t>
            </w:r>
          </w:p>
          <w:p>
            <w:pPr>
              <w:widowControl/>
              <w:spacing w:after="0" w:line="200" w:lineRule="exact"/>
              <w:jc w:val="left"/>
              <w:rPr>
                <w:rFonts w:ascii="Times New Roman" w:hAnsi="Times New Roman" w:eastAsia="微软雅黑"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w:t>
            </w:r>
            <w:r>
              <w:rPr>
                <w:rFonts w:hint="eastAsia" w:ascii="Times New Roman" w:hAnsi="Times New Roman" w:eastAsia="宋体" w:cs="Times New Roman"/>
                <w:kern w:val="0"/>
                <w:sz w:val="18"/>
                <w:szCs w:val="18"/>
              </w:rPr>
              <w:t>8</w:t>
            </w:r>
            <w:r>
              <w:rPr>
                <w:rFonts w:ascii="Times New Roman" w:hAnsi="Times New Roman" w:eastAsia="宋体" w:cs="Times New Roman"/>
                <w:kern w:val="0"/>
                <w:sz w:val="18"/>
                <w:szCs w:val="18"/>
              </w:rPr>
              <w:t>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06" w:type="dxa"/>
            <w:vMerge w:val="continue"/>
            <w:vAlign w:val="center"/>
          </w:tcPr>
          <w:p>
            <w:pPr>
              <w:widowControl/>
              <w:spacing w:after="0" w:line="200" w:lineRule="exact"/>
              <w:jc w:val="center"/>
              <w:rPr>
                <w:rFonts w:ascii="Times New Roman" w:hAnsi="Times New Roman" w:eastAsia="宋体" w:cs="Times New Roman"/>
                <w:kern w:val="0"/>
                <w:sz w:val="18"/>
                <w:szCs w:val="18"/>
              </w:rPr>
            </w:pPr>
          </w:p>
        </w:tc>
        <w:tc>
          <w:tcPr>
            <w:tcW w:w="879"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体外循环、麻醉</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2177"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承担体外循环、麻醉等日常工作</w:t>
            </w:r>
          </w:p>
        </w:tc>
        <w:tc>
          <w:tcPr>
            <w:tcW w:w="3336"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eastAsia="zh-CN"/>
              </w:rPr>
              <w:t>外科学、</w:t>
            </w:r>
            <w:r>
              <w:rPr>
                <w:rFonts w:hint="eastAsia" w:ascii="Times New Roman" w:hAnsi="Times New Roman" w:eastAsia="宋体" w:cs="Times New Roman"/>
                <w:kern w:val="0"/>
                <w:sz w:val="18"/>
                <w:szCs w:val="18"/>
              </w:rPr>
              <w:t>麻醉学等专业；</w:t>
            </w:r>
          </w:p>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研究生学历且硕士及以上学位</w:t>
            </w:r>
          </w:p>
        </w:tc>
        <w:tc>
          <w:tcPr>
            <w:tcW w:w="720" w:type="dxa"/>
            <w:vMerge w:val="continue"/>
            <w:vAlign w:val="center"/>
          </w:tcPr>
          <w:p>
            <w:pPr>
              <w:widowControl/>
              <w:spacing w:after="0" w:line="200" w:lineRule="exact"/>
              <w:jc w:val="center"/>
              <w:rPr>
                <w:rFonts w:ascii="Times New Roman" w:hAnsi="Times New Roman" w:eastAsia="宋体" w:cs="Times New Roman"/>
                <w:kern w:val="0"/>
                <w:sz w:val="18"/>
                <w:szCs w:val="18"/>
              </w:rPr>
            </w:pPr>
          </w:p>
        </w:tc>
        <w:tc>
          <w:tcPr>
            <w:tcW w:w="1817" w:type="dxa"/>
            <w:vMerge w:val="continue"/>
            <w:vAlign w:val="center"/>
          </w:tcPr>
          <w:p>
            <w:pPr>
              <w:widowControl/>
              <w:spacing w:after="0" w:line="200" w:lineRule="exact"/>
              <w:jc w:val="left"/>
              <w:rPr>
                <w:rFonts w:ascii="Times New Roman" w:hAnsi="Times New Roman"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6"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医学</w:t>
            </w:r>
          </w:p>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影像</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2177"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各科日常诊断、教学、科研等工作</w:t>
            </w:r>
          </w:p>
        </w:tc>
        <w:tc>
          <w:tcPr>
            <w:tcW w:w="3336"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影像医学与核医学、放射医学等专业；</w:t>
            </w:r>
          </w:p>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研究生学历且硕士及以上学位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06"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药学</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2177"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承担医院日常药学等工作</w:t>
            </w:r>
          </w:p>
        </w:tc>
        <w:tc>
          <w:tcPr>
            <w:tcW w:w="3336"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药学、药物化学等专业；</w:t>
            </w:r>
          </w:p>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研究生学历且博士学位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06"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科研</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p>
        </w:tc>
        <w:tc>
          <w:tcPr>
            <w:tcW w:w="2177"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承担医院日常科研等工作</w:t>
            </w:r>
          </w:p>
        </w:tc>
        <w:tc>
          <w:tcPr>
            <w:tcW w:w="3336"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生物医学工程、分析化学、临床医学类、基础医学类等专业；</w:t>
            </w:r>
          </w:p>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研究生学历且博士学位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06" w:type="dxa"/>
            <w:vMerge w:val="restart"/>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宁波大学附属第一医院</w:t>
            </w:r>
          </w:p>
          <w:p>
            <w:pPr>
              <w:widowControl/>
              <w:spacing w:after="0" w:line="200" w:lineRule="exact"/>
              <w:jc w:val="center"/>
              <w:rPr>
                <w:rFonts w:ascii="Times New Roman" w:hAnsi="Times New Roman" w:eastAsia="微软雅黑" w:cs="Times New Roman"/>
                <w:b/>
                <w:color w:val="4D4D4D"/>
                <w:kern w:val="0"/>
                <w:sz w:val="18"/>
                <w:szCs w:val="18"/>
              </w:rPr>
            </w:pPr>
            <w:r>
              <w:rPr>
                <w:rFonts w:hint="eastAsia" w:ascii="Times New Roman" w:hAnsi="Times New Roman" w:eastAsia="宋体" w:cs="Times New Roman"/>
                <w:kern w:val="0"/>
                <w:sz w:val="18"/>
                <w:szCs w:val="18"/>
              </w:rPr>
              <w:t>（8名）</w:t>
            </w:r>
          </w:p>
        </w:tc>
        <w:tc>
          <w:tcPr>
            <w:tcW w:w="879" w:type="dxa"/>
            <w:vAlign w:val="center"/>
          </w:tcPr>
          <w:p>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临床</w:t>
            </w:r>
          </w:p>
        </w:tc>
        <w:tc>
          <w:tcPr>
            <w:tcW w:w="784" w:type="dxa"/>
            <w:vAlign w:val="center"/>
          </w:tcPr>
          <w:p>
            <w:pPr>
              <w:widowControl/>
              <w:spacing w:after="0" w:line="2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2177" w:type="dxa"/>
            <w:vAlign w:val="center"/>
          </w:tcPr>
          <w:p>
            <w:pPr>
              <w:widowControl/>
              <w:spacing w:after="0"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各科日常诊断、治疗、教学、科研等工作</w:t>
            </w:r>
          </w:p>
        </w:tc>
        <w:tc>
          <w:tcPr>
            <w:tcW w:w="3336" w:type="dxa"/>
            <w:vAlign w:val="center"/>
          </w:tcPr>
          <w:p>
            <w:pPr>
              <w:widowControl/>
              <w:spacing w:after="0" w:line="200" w:lineRule="exact"/>
              <w:jc w:val="left"/>
              <w:rPr>
                <w:rFonts w:ascii="Times New Roman" w:hAnsi="Times New Roman" w:cs="Times New Roman"/>
                <w:kern w:val="0"/>
                <w:sz w:val="18"/>
                <w:szCs w:val="18"/>
              </w:rPr>
            </w:pPr>
            <w:r>
              <w:rPr>
                <w:rFonts w:hint="eastAsia" w:ascii="Times New Roman" w:hAnsi="Times New Roman" w:eastAsia="宋体" w:cs="Times New Roman"/>
                <w:kern w:val="0"/>
                <w:sz w:val="18"/>
                <w:szCs w:val="18"/>
              </w:rPr>
              <w:t>重症医学、中西医结合临床、普外科学、消化内科学、骨科学等专业；</w:t>
            </w:r>
          </w:p>
          <w:p>
            <w:pPr>
              <w:widowControl/>
              <w:spacing w:after="0"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720" w:type="dxa"/>
            <w:vMerge w:val="restart"/>
            <w:vAlign w:val="center"/>
          </w:tcPr>
          <w:p>
            <w:pPr>
              <w:widowControl/>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全国范围</w:t>
            </w:r>
          </w:p>
        </w:tc>
        <w:tc>
          <w:tcPr>
            <w:tcW w:w="1817" w:type="dxa"/>
            <w:vMerge w:val="restart"/>
            <w:vAlign w:val="center"/>
          </w:tcPr>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rPr>
              <w:t>6</w:t>
            </w:r>
            <w:r>
              <w:rPr>
                <w:rFonts w:ascii="Times New Roman" w:hAnsi="Times New Roman" w:cs="Times New Roman"/>
                <w:bCs/>
                <w:sz w:val="18"/>
                <w:szCs w:val="18"/>
              </w:rPr>
              <w:t>年普通高校应届毕业生；</w:t>
            </w:r>
          </w:p>
          <w:p>
            <w:pPr>
              <w:widowControl/>
              <w:spacing w:after="0" w:line="200" w:lineRule="exact"/>
              <w:jc w:val="left"/>
              <w:rPr>
                <w:rFonts w:ascii="Times New Roman" w:hAnsi="Times New Roman" w:eastAsia="微软雅黑"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w:t>
            </w:r>
            <w:r>
              <w:rPr>
                <w:rFonts w:hint="eastAsia" w:ascii="Times New Roman" w:hAnsi="Times New Roman" w:eastAsia="宋体" w:cs="Times New Roman"/>
                <w:kern w:val="0"/>
                <w:sz w:val="18"/>
                <w:szCs w:val="18"/>
              </w:rPr>
              <w:t>8</w:t>
            </w:r>
            <w:r>
              <w:rPr>
                <w:rFonts w:ascii="Times New Roman" w:hAnsi="Times New Roman" w:eastAsia="宋体" w:cs="Times New Roman"/>
                <w:kern w:val="0"/>
                <w:sz w:val="18"/>
                <w:szCs w:val="18"/>
              </w:rPr>
              <w:t>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Align w:val="center"/>
          </w:tcPr>
          <w:p>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科研</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3</w:t>
            </w:r>
          </w:p>
        </w:tc>
        <w:tc>
          <w:tcPr>
            <w:tcW w:w="2177" w:type="dxa"/>
            <w:vAlign w:val="center"/>
          </w:tcPr>
          <w:p>
            <w:pPr>
              <w:widowControl/>
              <w:spacing w:after="0"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承担医院日常科研等工作</w:t>
            </w:r>
          </w:p>
        </w:tc>
        <w:tc>
          <w:tcPr>
            <w:tcW w:w="3336"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生物与医药、分子肿瘤医学、智能科学与技术类等相关专业；</w:t>
            </w:r>
          </w:p>
          <w:p>
            <w:pPr>
              <w:widowControl/>
              <w:spacing w:after="0" w:line="200" w:lineRule="exact"/>
              <w:jc w:val="left"/>
              <w:rPr>
                <w:rFonts w:ascii="Times New Roman" w:hAnsi="Times New Roman" w:cs="Times New Roman"/>
                <w:kern w:val="0"/>
                <w:sz w:val="18"/>
                <w:szCs w:val="18"/>
              </w:rPr>
            </w:pPr>
            <w:r>
              <w:rPr>
                <w:rFonts w:ascii="Times New Roman" w:hAnsi="Times New Roman" w:cs="Times New Roman"/>
                <w:kern w:val="0"/>
                <w:sz w:val="18"/>
                <w:szCs w:val="18"/>
              </w:rPr>
              <w:t>研究生学历且博士学位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006" w:type="dxa"/>
            <w:vMerge w:val="restart"/>
            <w:vAlign w:val="center"/>
          </w:tcPr>
          <w:p>
            <w:pPr>
              <w:widowControl/>
              <w:spacing w:after="0" w:line="20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宁波市</w:t>
            </w:r>
          </w:p>
          <w:p>
            <w:pPr>
              <w:widowControl/>
              <w:spacing w:after="0" w:line="20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第二医院</w:t>
            </w:r>
          </w:p>
          <w:p>
            <w:pPr>
              <w:widowControl/>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Cs/>
                <w:color w:val="000000" w:themeColor="text1"/>
                <w:sz w:val="18"/>
                <w:szCs w:val="18"/>
                <w14:textFill>
                  <w14:solidFill>
                    <w14:schemeClr w14:val="tx1"/>
                  </w14:solidFill>
                </w14:textFill>
              </w:rPr>
              <w:t>（</w:t>
            </w:r>
            <w:r>
              <w:rPr>
                <w:rFonts w:hint="eastAsia" w:ascii="Times New Roman" w:hAnsi="Times New Roman" w:cs="Times New Roman"/>
                <w:bCs/>
                <w:color w:val="000000" w:themeColor="text1"/>
                <w:sz w:val="18"/>
                <w:szCs w:val="18"/>
                <w14:textFill>
                  <w14:solidFill>
                    <w14:schemeClr w14:val="tx1"/>
                  </w14:solidFill>
                </w14:textFill>
              </w:rPr>
              <w:t>40</w:t>
            </w:r>
            <w:r>
              <w:rPr>
                <w:rFonts w:ascii="Times New Roman" w:hAnsi="Times New Roman" w:cs="Times New Roman"/>
                <w:bCs/>
                <w:color w:val="000000" w:themeColor="text1"/>
                <w:sz w:val="18"/>
                <w:szCs w:val="18"/>
                <w14:textFill>
                  <w14:solidFill>
                    <w14:schemeClr w14:val="tx1"/>
                  </w14:solidFill>
                </w14:textFill>
              </w:rPr>
              <w:t>名）</w:t>
            </w:r>
          </w:p>
        </w:tc>
        <w:tc>
          <w:tcPr>
            <w:tcW w:w="879" w:type="dxa"/>
            <w:vMerge w:val="restart"/>
            <w:vAlign w:val="center"/>
          </w:tcPr>
          <w:p>
            <w:pPr>
              <w:spacing w:after="0" w:line="200" w:lineRule="exact"/>
              <w:jc w:val="center"/>
              <w:rPr>
                <w:rFonts w:ascii="Times New Roman" w:hAnsi="Times New Roman" w:eastAsia="宋体"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临床</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rPr>
              <w:t>2</w:t>
            </w:r>
          </w:p>
        </w:tc>
        <w:tc>
          <w:tcPr>
            <w:tcW w:w="2177" w:type="dxa"/>
            <w:vMerge w:val="restart"/>
            <w:vAlign w:val="center"/>
          </w:tcPr>
          <w:p>
            <w:pPr>
              <w:spacing w:after="0" w:line="200" w:lineRule="exact"/>
              <w:jc w:val="left"/>
              <w:rPr>
                <w:rFonts w:ascii="Times New Roman" w:hAnsi="Times New Roman" w:eastAsia="宋体"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各科日常诊断、治疗、教学、科研等工作</w:t>
            </w:r>
          </w:p>
        </w:tc>
        <w:tc>
          <w:tcPr>
            <w:tcW w:w="3336" w:type="dxa"/>
            <w:vAlign w:val="center"/>
          </w:tcPr>
          <w:p>
            <w:pPr>
              <w:widowControl/>
              <w:spacing w:after="0"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神经外科学、泌尿外科学、心胸外科学、肛肠外科、乳腺外科、骨外科学、烧伤外科、精神病与精神卫生学、肿瘤学、麻醉学、内分泌学、神经病学、肝病学、传染病学（肝病方向）、消化内科学（肝病方向）、急诊医学、重症医学、心血管内科学、呼吸病学、妇产科学、眼科学、儿科学、皮肤病与性病学、普外科学等专业；</w:t>
            </w:r>
          </w:p>
          <w:p>
            <w:pPr>
              <w:widowControl/>
              <w:spacing w:after="0" w:line="200" w:lineRule="exact"/>
              <w:jc w:val="left"/>
              <w:rPr>
                <w:rFonts w:ascii="Times New Roman" w:hAnsi="Times New Roman" w:cs="Times New Roman"/>
                <w:bCs/>
                <w:sz w:val="18"/>
                <w:szCs w:val="18"/>
              </w:rPr>
            </w:pPr>
            <w:r>
              <w:rPr>
                <w:rFonts w:ascii="Times New Roman" w:hAnsi="Times New Roman" w:eastAsia="宋体" w:cs="Times New Roman"/>
                <w:kern w:val="0"/>
                <w:sz w:val="18"/>
                <w:szCs w:val="18"/>
              </w:rPr>
              <w:t>研究生学历且博士学位</w:t>
            </w:r>
          </w:p>
        </w:tc>
        <w:tc>
          <w:tcPr>
            <w:tcW w:w="720"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restart"/>
            <w:vAlign w:val="center"/>
          </w:tcPr>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rPr>
              <w:t>6</w:t>
            </w:r>
            <w:r>
              <w:rPr>
                <w:rFonts w:ascii="Times New Roman" w:hAnsi="Times New Roman" w:cs="Times New Roman"/>
                <w:bCs/>
                <w:sz w:val="18"/>
                <w:szCs w:val="18"/>
              </w:rPr>
              <w:t>年普通高校应届毕业生；</w:t>
            </w:r>
          </w:p>
          <w:p>
            <w:pPr>
              <w:widowControl/>
              <w:spacing w:after="0" w:line="200" w:lineRule="exact"/>
              <w:jc w:val="left"/>
              <w:rPr>
                <w:rFonts w:ascii="Times New Roman" w:hAnsi="Times New Roman" w:eastAsia="微软雅黑"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w:t>
            </w:r>
            <w:r>
              <w:rPr>
                <w:rFonts w:hint="eastAsia" w:ascii="Times New Roman" w:hAnsi="Times New Roman" w:eastAsia="宋体" w:cs="Times New Roman"/>
                <w:kern w:val="0"/>
                <w:sz w:val="18"/>
                <w:szCs w:val="18"/>
              </w:rPr>
              <w:t>8</w:t>
            </w:r>
            <w:r>
              <w:rPr>
                <w:rFonts w:ascii="Times New Roman" w:hAnsi="Times New Roman" w:eastAsia="宋体" w:cs="Times New Roman"/>
                <w:kern w:val="0"/>
                <w:sz w:val="18"/>
                <w:szCs w:val="18"/>
              </w:rPr>
              <w:t>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Merge w:val="continue"/>
            <w:vAlign w:val="center"/>
          </w:tcPr>
          <w:p>
            <w:pPr>
              <w:widowControl/>
              <w:spacing w:after="0" w:line="200" w:lineRule="exact"/>
              <w:jc w:val="center"/>
              <w:rPr>
                <w:rFonts w:ascii="Times New Roman" w:hAnsi="Times New Roman" w:eastAsia="宋体" w:cs="Times New Roman"/>
                <w:kern w:val="0"/>
                <w:sz w:val="18"/>
                <w:szCs w:val="18"/>
              </w:rPr>
            </w:pP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10</w:t>
            </w:r>
          </w:p>
        </w:tc>
        <w:tc>
          <w:tcPr>
            <w:tcW w:w="2177" w:type="dxa"/>
            <w:vMerge w:val="continue"/>
            <w:vAlign w:val="center"/>
          </w:tcPr>
          <w:p>
            <w:pPr>
              <w:widowControl/>
              <w:spacing w:after="0" w:line="200" w:lineRule="exact"/>
              <w:jc w:val="left"/>
              <w:rPr>
                <w:rFonts w:ascii="Times New Roman" w:hAnsi="Times New Roman" w:eastAsia="宋体" w:cs="Times New Roman"/>
                <w:kern w:val="0"/>
                <w:sz w:val="18"/>
                <w:szCs w:val="18"/>
              </w:rPr>
            </w:pPr>
          </w:p>
        </w:tc>
        <w:tc>
          <w:tcPr>
            <w:tcW w:w="3336" w:type="dxa"/>
            <w:vAlign w:val="center"/>
          </w:tcPr>
          <w:p>
            <w:pPr>
              <w:spacing w:after="0" w:line="200" w:lineRule="exact"/>
              <w:jc w:val="left"/>
              <w:rPr>
                <w:rFonts w:ascii="Times New Roman" w:hAnsi="Times New Roman" w:cs="Times New Roman"/>
                <w:bCs/>
                <w:sz w:val="18"/>
                <w:szCs w:val="18"/>
              </w:rPr>
            </w:pPr>
            <w:r>
              <w:rPr>
                <w:rFonts w:hint="eastAsia" w:ascii="Times New Roman" w:hAnsi="Times New Roman" w:cs="Times New Roman"/>
                <w:bCs/>
                <w:sz w:val="18"/>
                <w:szCs w:val="18"/>
              </w:rPr>
              <w:t>神经外科学、心胸外科学、乳腺外科、泌尿外科学、骨外科学（足踝方向）、神经病学、精神病与精神卫生学、麻醉学、急诊医学、重症医学、心血管内科学、呼吸病学、消化内科学等专业；</w:t>
            </w:r>
          </w:p>
          <w:p>
            <w:pPr>
              <w:spacing w:after="0" w:line="200" w:lineRule="exact"/>
              <w:jc w:val="left"/>
              <w:rPr>
                <w:rFonts w:ascii="Times New Roman" w:hAnsi="Times New Roman" w:cs="Times New Roman"/>
                <w:bCs/>
                <w:sz w:val="18"/>
                <w:szCs w:val="18"/>
              </w:rPr>
            </w:pPr>
            <w:r>
              <w:rPr>
                <w:rFonts w:ascii="Times New Roman" w:hAnsi="Times New Roman" w:cs="Times New Roman"/>
                <w:kern w:val="0"/>
                <w:sz w:val="18"/>
                <w:szCs w:val="18"/>
              </w:rPr>
              <w:t>研究生学历且</w:t>
            </w:r>
            <w:r>
              <w:rPr>
                <w:rFonts w:ascii="Times New Roman" w:hAnsi="Times New Roman" w:cs="Times New Roman"/>
                <w:sz w:val="18"/>
                <w:szCs w:val="18"/>
              </w:rPr>
              <w:t>硕士及以上学位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Merge w:val="restart"/>
            <w:vAlign w:val="center"/>
          </w:tcPr>
          <w:p>
            <w:pPr>
              <w:pStyle w:val="4"/>
              <w:spacing w:before="0" w:beforeAutospacing="0" w:after="0" w:afterAutospacing="0" w:line="240" w:lineRule="exact"/>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影像、</w:t>
            </w:r>
          </w:p>
          <w:p>
            <w:pPr>
              <w:pStyle w:val="4"/>
              <w:spacing w:before="0" w:beforeAutospacing="0" w:after="0" w:afterAutospacing="0" w:line="200" w:lineRule="exact"/>
              <w:jc w:val="center"/>
              <w:rPr>
                <w:rFonts w:ascii="Times New Roman" w:hAnsi="Times New Roman" w:cs="Times New Roman"/>
                <w:sz w:val="18"/>
                <w:szCs w:val="18"/>
              </w:rPr>
            </w:pPr>
            <w:r>
              <w:rPr>
                <w:rFonts w:hint="eastAsia"/>
                <w:color w:val="000000" w:themeColor="text1"/>
                <w:sz w:val="18"/>
                <w:szCs w:val="18"/>
                <w14:textFill>
                  <w14:solidFill>
                    <w14:schemeClr w14:val="tx1"/>
                  </w14:solidFill>
                </w14:textFill>
              </w:rPr>
              <w:t>核医学</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1</w:t>
            </w:r>
          </w:p>
        </w:tc>
        <w:tc>
          <w:tcPr>
            <w:tcW w:w="2177" w:type="dxa"/>
            <w:vMerge w:val="restart"/>
            <w:vAlign w:val="center"/>
          </w:tcPr>
          <w:p>
            <w:pPr>
              <w:spacing w:after="0" w:line="200" w:lineRule="exact"/>
              <w:jc w:val="left"/>
              <w:rPr>
                <w:rFonts w:ascii="Times New Roman" w:hAnsi="Times New Roman"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各科日常诊断、教学、科研等工作</w:t>
            </w:r>
          </w:p>
        </w:tc>
        <w:tc>
          <w:tcPr>
            <w:tcW w:w="3336" w:type="dxa"/>
            <w:vAlign w:val="center"/>
          </w:tcPr>
          <w:p>
            <w:pPr>
              <w:spacing w:after="0" w:line="240" w:lineRule="exact"/>
              <w:jc w:val="left"/>
              <w:rPr>
                <w:bCs/>
                <w:sz w:val="18"/>
                <w:szCs w:val="18"/>
              </w:rPr>
            </w:pPr>
            <w:r>
              <w:rPr>
                <w:rFonts w:hint="eastAsia" w:ascii="Times New Roman" w:hAnsi="Times New Roman" w:cs="Times New Roman"/>
                <w:bCs/>
                <w:sz w:val="18"/>
                <w:szCs w:val="18"/>
              </w:rPr>
              <w:t>影像医学与核医学、</w:t>
            </w:r>
            <w:r>
              <w:rPr>
                <w:rFonts w:hint="eastAsia" w:cs="Times New Roman"/>
                <w:bCs/>
                <w:sz w:val="18"/>
                <w:szCs w:val="18"/>
              </w:rPr>
              <w:t>放射医学</w:t>
            </w:r>
            <w:r>
              <w:rPr>
                <w:rFonts w:hint="eastAsia" w:ascii="Times New Roman" w:hAnsi="Times New Roman" w:cs="Times New Roman"/>
                <w:bCs/>
                <w:sz w:val="18"/>
                <w:szCs w:val="18"/>
              </w:rPr>
              <w:t>等专业；</w:t>
            </w:r>
          </w:p>
          <w:p>
            <w:pPr>
              <w:spacing w:after="0" w:line="200" w:lineRule="exact"/>
              <w:jc w:val="left"/>
              <w:rPr>
                <w:rFonts w:ascii="Times New Roman" w:hAnsi="Times New Roman" w:cs="Times New Roman"/>
                <w:bCs/>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研究生学历且博士学位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Merge w:val="continue"/>
            <w:vAlign w:val="center"/>
          </w:tcPr>
          <w:p>
            <w:pPr>
              <w:pStyle w:val="4"/>
              <w:spacing w:before="0" w:beforeAutospacing="0" w:after="0" w:afterAutospacing="0" w:line="200" w:lineRule="exact"/>
              <w:jc w:val="center"/>
              <w:rPr>
                <w:rFonts w:ascii="Times New Roman" w:hAnsi="Times New Roman" w:cs="Times New Roman"/>
                <w:color w:val="000000" w:themeColor="text1"/>
                <w:sz w:val="18"/>
                <w:szCs w:val="18"/>
                <w14:textFill>
                  <w14:solidFill>
                    <w14:schemeClr w14:val="tx1"/>
                  </w14:solidFill>
                </w14:textFill>
              </w:rPr>
            </w:pP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3</w:t>
            </w:r>
          </w:p>
        </w:tc>
        <w:tc>
          <w:tcPr>
            <w:tcW w:w="2177" w:type="dxa"/>
            <w:vMerge w:val="continue"/>
            <w:vAlign w:val="center"/>
          </w:tcPr>
          <w:p>
            <w:pPr>
              <w:spacing w:after="0" w:line="200" w:lineRule="exact"/>
              <w:jc w:val="left"/>
              <w:rPr>
                <w:rFonts w:ascii="Times New Roman" w:hAnsi="Times New Roman" w:cs="Times New Roman"/>
                <w:color w:val="000000" w:themeColor="text1"/>
                <w:kern w:val="0"/>
                <w:sz w:val="18"/>
                <w:szCs w:val="18"/>
                <w14:textFill>
                  <w14:solidFill>
                    <w14:schemeClr w14:val="tx1"/>
                  </w14:solidFill>
                </w14:textFill>
              </w:rPr>
            </w:pPr>
          </w:p>
        </w:tc>
        <w:tc>
          <w:tcPr>
            <w:tcW w:w="3336" w:type="dxa"/>
            <w:vAlign w:val="center"/>
          </w:tcPr>
          <w:p>
            <w:pPr>
              <w:spacing w:after="0" w:line="240" w:lineRule="exact"/>
              <w:jc w:val="left"/>
              <w:rPr>
                <w:bCs/>
                <w:sz w:val="18"/>
                <w:szCs w:val="18"/>
              </w:rPr>
            </w:pPr>
            <w:r>
              <w:rPr>
                <w:rFonts w:hint="eastAsia" w:ascii="Times New Roman" w:hAnsi="Times New Roman" w:cs="Times New Roman"/>
                <w:bCs/>
                <w:sz w:val="18"/>
                <w:szCs w:val="18"/>
              </w:rPr>
              <w:t>影像医学与核医学、</w:t>
            </w:r>
            <w:r>
              <w:rPr>
                <w:rFonts w:hint="eastAsia" w:cs="Times New Roman"/>
                <w:bCs/>
                <w:sz w:val="18"/>
                <w:szCs w:val="18"/>
              </w:rPr>
              <w:t>放射医学、医学影像技术、生物医学工程（医学影像方向）</w:t>
            </w:r>
            <w:r>
              <w:rPr>
                <w:rFonts w:hint="eastAsia" w:ascii="Times New Roman" w:hAnsi="Times New Roman" w:cs="Times New Roman"/>
                <w:bCs/>
                <w:sz w:val="18"/>
                <w:szCs w:val="18"/>
              </w:rPr>
              <w:t>等专业；</w:t>
            </w:r>
          </w:p>
          <w:p>
            <w:pPr>
              <w:spacing w:after="0" w:line="200" w:lineRule="exact"/>
              <w:jc w:val="left"/>
              <w:rPr>
                <w:rFonts w:ascii="Times New Roman" w:hAnsi="Times New Roman" w:cs="Times New Roman"/>
                <w:bCs/>
                <w:sz w:val="18"/>
                <w:szCs w:val="18"/>
              </w:rPr>
            </w:pPr>
            <w:r>
              <w:rPr>
                <w:rFonts w:ascii="Times New Roman" w:hAnsi="Times New Roman" w:cs="Times New Roman"/>
                <w:color w:val="000000" w:themeColor="text1"/>
                <w:kern w:val="0"/>
                <w:sz w:val="18"/>
                <w:szCs w:val="18"/>
                <w14:textFill>
                  <w14:solidFill>
                    <w14:schemeClr w14:val="tx1"/>
                  </w14:solidFill>
                </w14:textFill>
              </w:rPr>
              <w:t>研究生学历且</w:t>
            </w:r>
            <w:r>
              <w:rPr>
                <w:rFonts w:hint="eastAsia" w:cs="Times New Roman"/>
                <w:color w:val="000000" w:themeColor="text1"/>
                <w:kern w:val="0"/>
                <w:sz w:val="18"/>
                <w:szCs w:val="18"/>
                <w14:textFill>
                  <w14:solidFill>
                    <w14:schemeClr w14:val="tx1"/>
                  </w14:solidFill>
                </w14:textFill>
              </w:rPr>
              <w:t>硕士</w:t>
            </w:r>
            <w:r>
              <w:rPr>
                <w:rFonts w:ascii="Times New Roman" w:hAnsi="Times New Roman" w:cs="Times New Roman"/>
                <w:color w:val="000000" w:themeColor="text1"/>
                <w:kern w:val="0"/>
                <w:sz w:val="18"/>
                <w:szCs w:val="18"/>
                <w14:textFill>
                  <w14:solidFill>
                    <w14:schemeClr w14:val="tx1"/>
                  </w14:solidFill>
                </w14:textFill>
              </w:rPr>
              <w:t>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Align w:val="center"/>
          </w:tcPr>
          <w:p>
            <w:pPr>
              <w:pStyle w:val="4"/>
              <w:spacing w:before="0" w:beforeAutospacing="0" w:after="0" w:afterAutospacing="0" w:line="200"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超声</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ascii="Times New Roman" w:hAnsi="Times New Roman" w:cs="Times New Roman"/>
                <w:bCs/>
                <w:color w:val="000000" w:themeColor="text1"/>
                <w:sz w:val="18"/>
                <w:szCs w:val="18"/>
                <w14:textFill>
                  <w14:solidFill>
                    <w14:schemeClr w14:val="tx1"/>
                  </w14:solidFill>
                </w14:textFill>
              </w:rPr>
              <w:t>1</w:t>
            </w:r>
          </w:p>
        </w:tc>
        <w:tc>
          <w:tcPr>
            <w:tcW w:w="2177" w:type="dxa"/>
            <w:vAlign w:val="center"/>
          </w:tcPr>
          <w:p>
            <w:pPr>
              <w:spacing w:after="0" w:line="200" w:lineRule="exact"/>
              <w:jc w:val="left"/>
              <w:rPr>
                <w:rFonts w:ascii="Times New Roman" w:hAnsi="Times New Roman" w:cs="Times New Roman"/>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各科日常诊断、教学、科研等工作</w:t>
            </w:r>
          </w:p>
        </w:tc>
        <w:tc>
          <w:tcPr>
            <w:tcW w:w="3336" w:type="dxa"/>
            <w:vAlign w:val="center"/>
          </w:tcPr>
          <w:p>
            <w:pPr>
              <w:widowControl/>
              <w:spacing w:after="0" w:line="200" w:lineRule="exact"/>
              <w:jc w:val="left"/>
              <w:rPr>
                <w:kern w:val="0"/>
                <w:sz w:val="18"/>
                <w:szCs w:val="18"/>
              </w:rPr>
            </w:pPr>
            <w:r>
              <w:rPr>
                <w:rFonts w:ascii="Times New Roman" w:hAnsi="Times New Roman" w:eastAsia="宋体" w:cs="Times New Roman"/>
                <w:kern w:val="0"/>
                <w:sz w:val="18"/>
                <w:szCs w:val="18"/>
              </w:rPr>
              <w:t>影像医学与核医学</w:t>
            </w:r>
            <w:r>
              <w:rPr>
                <w:rFonts w:hint="eastAsia" w:cs="Times New Roman"/>
                <w:kern w:val="0"/>
                <w:sz w:val="18"/>
                <w:szCs w:val="18"/>
              </w:rPr>
              <w:t>（超声方向）</w:t>
            </w:r>
            <w:r>
              <w:rPr>
                <w:rFonts w:hint="eastAsia" w:ascii="Times New Roman" w:hAnsi="Times New Roman" w:eastAsia="宋体" w:cs="Times New Roman"/>
                <w:kern w:val="0"/>
                <w:sz w:val="18"/>
                <w:szCs w:val="18"/>
              </w:rPr>
              <w:t>、</w:t>
            </w:r>
            <w:r>
              <w:rPr>
                <w:rFonts w:ascii="Times New Roman" w:hAnsi="Times New Roman" w:cs="Times New Roman"/>
                <w:kern w:val="0"/>
                <w:sz w:val="18"/>
                <w:szCs w:val="18"/>
              </w:rPr>
              <w:t>超声医学</w:t>
            </w:r>
            <w:r>
              <w:rPr>
                <w:rFonts w:hint="eastAsia" w:cs="Times New Roman"/>
                <w:kern w:val="0"/>
                <w:sz w:val="18"/>
                <w:szCs w:val="18"/>
              </w:rPr>
              <w:t>等</w:t>
            </w:r>
            <w:r>
              <w:rPr>
                <w:rFonts w:ascii="Times New Roman" w:hAnsi="Times New Roman" w:eastAsia="宋体" w:cs="Times New Roman"/>
                <w:kern w:val="0"/>
                <w:sz w:val="18"/>
                <w:szCs w:val="18"/>
              </w:rPr>
              <w:t>专业</w:t>
            </w:r>
            <w:r>
              <w:rPr>
                <w:rFonts w:ascii="Times New Roman" w:hAnsi="Times New Roman" w:cs="Times New Roman"/>
                <w:kern w:val="0"/>
                <w:sz w:val="18"/>
                <w:szCs w:val="18"/>
              </w:rPr>
              <w:t>；</w:t>
            </w:r>
          </w:p>
          <w:p>
            <w:pPr>
              <w:spacing w:after="0" w:line="200" w:lineRule="exact"/>
              <w:jc w:val="left"/>
              <w:rPr>
                <w:rFonts w:ascii="Times New Roman" w:hAnsi="Times New Roman" w:cs="Times New Roman"/>
                <w:bCs/>
                <w:sz w:val="18"/>
                <w:szCs w:val="18"/>
              </w:rPr>
            </w:pPr>
            <w:r>
              <w:rPr>
                <w:rFonts w:ascii="Times New Roman" w:hAnsi="Times New Roman" w:cs="Times New Roman"/>
                <w:kern w:val="0"/>
                <w:sz w:val="18"/>
                <w:szCs w:val="18"/>
              </w:rPr>
              <w:t>研究生学历且</w:t>
            </w:r>
            <w:r>
              <w:rPr>
                <w:rFonts w:ascii="Times New Roman" w:hAnsi="Times New Roman" w:cs="Times New Roman"/>
                <w:sz w:val="18"/>
                <w:szCs w:val="18"/>
              </w:rPr>
              <w:t>硕士及以上学位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Align w:val="center"/>
          </w:tcPr>
          <w:p>
            <w:pPr>
              <w:spacing w:after="0" w:line="200" w:lineRule="exact"/>
              <w:jc w:val="center"/>
              <w:rPr>
                <w:rFonts w:ascii="Times New Roman" w:hAnsi="Times New Roman" w:eastAsia="宋体"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检验</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2177" w:type="dxa"/>
            <w:vAlign w:val="center"/>
          </w:tcPr>
          <w:p>
            <w:pPr>
              <w:spacing w:after="0" w:line="200" w:lineRule="exact"/>
              <w:jc w:val="left"/>
              <w:rPr>
                <w:rFonts w:ascii="Times New Roman" w:hAnsi="Times New Roman" w:cs="Times New Roman"/>
                <w:color w:val="000000" w:themeColor="text1"/>
                <w:kern w:val="0"/>
                <w:sz w:val="18"/>
                <w:szCs w:val="18"/>
                <w14:textFill>
                  <w14:solidFill>
                    <w14:schemeClr w14:val="tx1"/>
                  </w14:solidFill>
                </w14:textFill>
              </w:rPr>
            </w:pPr>
            <w:r>
              <w:rPr>
                <w:rFonts w:ascii="Times New Roman" w:hAnsi="Times New Roman" w:cs="Times New Roman"/>
                <w:color w:val="000000" w:themeColor="text1"/>
                <w:kern w:val="0"/>
                <w:sz w:val="18"/>
                <w:szCs w:val="18"/>
                <w14:textFill>
                  <w14:solidFill>
                    <w14:schemeClr w14:val="tx1"/>
                  </w14:solidFill>
                </w14:textFill>
              </w:rPr>
              <w:t>各科日常诊断、教学、科研等工作</w:t>
            </w:r>
          </w:p>
        </w:tc>
        <w:tc>
          <w:tcPr>
            <w:tcW w:w="3336" w:type="dxa"/>
            <w:vAlign w:val="center"/>
          </w:tcPr>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临床检验诊断学、基础医学类专业；</w:t>
            </w:r>
          </w:p>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研究生学历且博士学位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Align w:val="center"/>
          </w:tcPr>
          <w:p>
            <w:pPr>
              <w:spacing w:after="0" w:line="200" w:lineRule="exact"/>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药学</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p>
        </w:tc>
        <w:tc>
          <w:tcPr>
            <w:tcW w:w="2177" w:type="dxa"/>
            <w:vAlign w:val="center"/>
          </w:tcPr>
          <w:p>
            <w:pPr>
              <w:spacing w:after="0" w:line="200" w:lineRule="exact"/>
              <w:jc w:val="left"/>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承担医院药学相关工作</w:t>
            </w:r>
          </w:p>
        </w:tc>
        <w:tc>
          <w:tcPr>
            <w:tcW w:w="3336" w:type="dxa"/>
            <w:vAlign w:val="center"/>
          </w:tcPr>
          <w:p>
            <w:pPr>
              <w:spacing w:after="0" w:line="200" w:lineRule="exact"/>
              <w:jc w:val="left"/>
              <w:rPr>
                <w:rFonts w:ascii="Times New Roman" w:hAnsi="Times New Roman" w:cs="Times New Roman"/>
                <w:bCs/>
                <w:sz w:val="18"/>
                <w:szCs w:val="18"/>
              </w:rPr>
            </w:pPr>
            <w:r>
              <w:rPr>
                <w:rFonts w:hint="eastAsia" w:ascii="Times New Roman" w:hAnsi="Times New Roman" w:cs="Times New Roman"/>
                <w:bCs/>
                <w:sz w:val="18"/>
                <w:szCs w:val="18"/>
              </w:rPr>
              <w:t>药学相关专业；</w:t>
            </w:r>
          </w:p>
          <w:p>
            <w:pPr>
              <w:spacing w:after="0" w:line="200" w:lineRule="exact"/>
              <w:jc w:val="left"/>
              <w:rPr>
                <w:rFonts w:hint="eastAsia" w:ascii="宋体" w:hAnsi="宋体" w:cs="宋体"/>
                <w:bCs/>
                <w:color w:val="000000" w:themeColor="text1"/>
                <w:sz w:val="18"/>
                <w:szCs w:val="18"/>
                <w14:textFill>
                  <w14:solidFill>
                    <w14:schemeClr w14:val="tx1"/>
                  </w14:solidFill>
                </w14:textFill>
              </w:rPr>
            </w:pPr>
            <w:r>
              <w:rPr>
                <w:rFonts w:hint="eastAsia" w:ascii="Times New Roman" w:hAnsi="Times New Roman" w:cs="Times New Roman"/>
                <w:bCs/>
                <w:sz w:val="18"/>
                <w:szCs w:val="18"/>
              </w:rPr>
              <w:t>研究生学历且博士学位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Align w:val="center"/>
          </w:tcPr>
          <w:p>
            <w:pPr>
              <w:spacing w:after="0" w:line="200" w:lineRule="exact"/>
              <w:jc w:val="center"/>
              <w:rPr>
                <w:rFonts w:ascii="Times New Roman" w:hAnsi="Times New Roman" w:eastAsia="宋体" w:cs="Times New Roman"/>
                <w:kern w:val="0"/>
                <w:sz w:val="18"/>
                <w:szCs w:val="18"/>
              </w:rPr>
            </w:pPr>
            <w:r>
              <w:rPr>
                <w:rFonts w:hint="eastAsia" w:ascii="宋体" w:hAnsi="宋体" w:cs="宋体"/>
                <w:bCs/>
                <w:color w:val="000000" w:themeColor="text1"/>
                <w:sz w:val="18"/>
                <w:szCs w:val="18"/>
                <w14:textFill>
                  <w14:solidFill>
                    <w14:schemeClr w14:val="tx1"/>
                  </w14:solidFill>
                </w14:textFill>
              </w:rPr>
              <w:t>科研</w:t>
            </w:r>
          </w:p>
        </w:tc>
        <w:tc>
          <w:tcPr>
            <w:tcW w:w="784"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w:t>
            </w:r>
          </w:p>
        </w:tc>
        <w:tc>
          <w:tcPr>
            <w:tcW w:w="2177" w:type="dxa"/>
            <w:vAlign w:val="center"/>
          </w:tcPr>
          <w:p>
            <w:pPr>
              <w:spacing w:after="0" w:line="200" w:lineRule="exact"/>
              <w:jc w:val="left"/>
              <w:rPr>
                <w:rFonts w:ascii="Times New Roman" w:hAnsi="Times New Roman" w:eastAsia="宋体" w:cs="Times New Roman"/>
                <w:kern w:val="0"/>
                <w:sz w:val="18"/>
                <w:szCs w:val="18"/>
              </w:rPr>
            </w:pPr>
            <w:r>
              <w:rPr>
                <w:rFonts w:hint="eastAsia" w:ascii="宋体" w:hAnsi="宋体" w:cs="宋体"/>
                <w:color w:val="000000" w:themeColor="text1"/>
                <w:kern w:val="0"/>
                <w:sz w:val="18"/>
                <w:szCs w:val="18"/>
                <w14:textFill>
                  <w14:solidFill>
                    <w14:schemeClr w14:val="tx1"/>
                  </w14:solidFill>
                </w14:textFill>
              </w:rPr>
              <w:t>承担医院日常科研相关工作</w:t>
            </w:r>
          </w:p>
        </w:tc>
        <w:tc>
          <w:tcPr>
            <w:tcW w:w="3336" w:type="dxa"/>
            <w:vAlign w:val="center"/>
          </w:tcPr>
          <w:p>
            <w:pPr>
              <w:spacing w:after="0" w:line="200" w:lineRule="exact"/>
              <w:jc w:val="left"/>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临床医学、基础医学、药学、中药学、生物学类、生物信息学、质谱技术、人工智能、运动人体科学等相关专业；</w:t>
            </w:r>
          </w:p>
          <w:p>
            <w:pPr>
              <w:spacing w:after="0" w:line="200" w:lineRule="exact"/>
              <w:jc w:val="left"/>
              <w:rPr>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研究生学历且博士学位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Merge w:val="restart"/>
            <w:vAlign w:val="center"/>
          </w:tcPr>
          <w:p>
            <w:pPr>
              <w:spacing w:after="0" w:line="20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护理</w:t>
            </w:r>
          </w:p>
        </w:tc>
        <w:tc>
          <w:tcPr>
            <w:tcW w:w="784" w:type="dxa"/>
            <w:vAlign w:val="center"/>
          </w:tcPr>
          <w:p>
            <w:pPr>
              <w:spacing w:after="0" w:line="200" w:lineRule="exact"/>
              <w:jc w:val="center"/>
              <w:rPr>
                <w:rFonts w:ascii="Times New Roman" w:hAnsi="Times New Roman" w:cs="Times New Roman"/>
                <w:bCs/>
                <w:color w:val="000000" w:themeColor="text1"/>
                <w:sz w:val="18"/>
                <w:szCs w:val="18"/>
                <w14:textFill>
                  <w14:solidFill>
                    <w14:schemeClr w14:val="tx1"/>
                  </w14:solidFill>
                </w14:textFill>
              </w:rPr>
            </w:pPr>
            <w:r>
              <w:rPr>
                <w:rFonts w:ascii="Times New Roman" w:hAnsi="Times New Roman" w:cs="Times New Roman"/>
                <w:bCs/>
                <w:color w:val="000000" w:themeColor="text1"/>
                <w:sz w:val="18"/>
                <w:szCs w:val="18"/>
                <w14:textFill>
                  <w14:solidFill>
                    <w14:schemeClr w14:val="tx1"/>
                  </w14:solidFill>
                </w14:textFill>
              </w:rPr>
              <w:t>1</w:t>
            </w:r>
          </w:p>
        </w:tc>
        <w:tc>
          <w:tcPr>
            <w:tcW w:w="2177" w:type="dxa"/>
            <w:vMerge w:val="restart"/>
            <w:vAlign w:val="center"/>
          </w:tcPr>
          <w:p>
            <w:pPr>
              <w:spacing w:after="0" w:line="200" w:lineRule="exact"/>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承担医院日常护理、管理工作</w:t>
            </w:r>
          </w:p>
        </w:tc>
        <w:tc>
          <w:tcPr>
            <w:tcW w:w="3336" w:type="dxa"/>
            <w:vAlign w:val="center"/>
          </w:tcPr>
          <w:p>
            <w:pPr>
              <w:spacing w:after="0" w:line="200" w:lineRule="exact"/>
              <w:jc w:val="left"/>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护理学专业；</w:t>
            </w:r>
          </w:p>
          <w:p>
            <w:pPr>
              <w:spacing w:after="0" w:line="20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研究生学历且博士学位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Merge w:val="continue"/>
            <w:vAlign w:val="center"/>
          </w:tcPr>
          <w:p>
            <w:pPr>
              <w:widowControl/>
              <w:spacing w:after="0" w:line="200" w:lineRule="exact"/>
              <w:jc w:val="center"/>
              <w:rPr>
                <w:rFonts w:ascii="Times New Roman" w:hAnsi="Times New Roman" w:eastAsia="宋体" w:cs="Times New Roman"/>
                <w:kern w:val="0"/>
                <w:sz w:val="18"/>
                <w:szCs w:val="18"/>
              </w:rPr>
            </w:pPr>
          </w:p>
        </w:tc>
        <w:tc>
          <w:tcPr>
            <w:tcW w:w="784" w:type="dxa"/>
            <w:vAlign w:val="center"/>
          </w:tcPr>
          <w:p>
            <w:pPr>
              <w:spacing w:after="0" w:line="200" w:lineRule="exact"/>
              <w:jc w:val="center"/>
              <w:rPr>
                <w:rFonts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bCs/>
                <w:color w:val="000000" w:themeColor="text1"/>
                <w:sz w:val="18"/>
                <w:szCs w:val="18"/>
                <w14:textFill>
                  <w14:solidFill>
                    <w14:schemeClr w14:val="tx1"/>
                  </w14:solidFill>
                </w14:textFill>
              </w:rPr>
              <w:t>5</w:t>
            </w:r>
          </w:p>
        </w:tc>
        <w:tc>
          <w:tcPr>
            <w:tcW w:w="2177" w:type="dxa"/>
            <w:vMerge w:val="continue"/>
            <w:vAlign w:val="center"/>
          </w:tcPr>
          <w:p>
            <w:pPr>
              <w:widowControl/>
              <w:spacing w:after="0" w:line="200" w:lineRule="exact"/>
              <w:jc w:val="left"/>
              <w:rPr>
                <w:rFonts w:ascii="Times New Roman" w:hAnsi="Times New Roman" w:eastAsia="宋体" w:cs="Times New Roman"/>
                <w:kern w:val="0"/>
                <w:sz w:val="18"/>
                <w:szCs w:val="18"/>
              </w:rPr>
            </w:pPr>
          </w:p>
        </w:tc>
        <w:tc>
          <w:tcPr>
            <w:tcW w:w="3336" w:type="dxa"/>
            <w:vAlign w:val="center"/>
          </w:tcPr>
          <w:p>
            <w:pPr>
              <w:spacing w:after="0" w:line="200" w:lineRule="exact"/>
              <w:jc w:val="left"/>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护理学专业；</w:t>
            </w:r>
          </w:p>
          <w:p>
            <w:pPr>
              <w:spacing w:after="0" w:line="20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研究生学历且</w:t>
            </w:r>
            <w:r>
              <w:rPr>
                <w:rFonts w:ascii="Times New Roman" w:hAnsi="Times New Roman" w:cs="Times New Roman"/>
                <w:sz w:val="18"/>
                <w:szCs w:val="18"/>
              </w:rPr>
              <w:t>硕士及以上学位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06" w:type="dxa"/>
            <w:vMerge w:val="restart"/>
            <w:vAlign w:val="center"/>
          </w:tcPr>
          <w:p>
            <w:pPr>
              <w:pStyle w:val="4"/>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宁波大学附属妇女儿童医院</w:t>
            </w:r>
          </w:p>
          <w:p>
            <w:pPr>
              <w:widowControl/>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kern w:val="0"/>
                <w:sz w:val="18"/>
                <w:szCs w:val="18"/>
              </w:rPr>
              <w:t>（</w:t>
            </w:r>
            <w:r>
              <w:rPr>
                <w:rFonts w:hint="eastAsia" w:ascii="Times New Roman" w:hAnsi="Times New Roman" w:cs="Times New Roman"/>
                <w:kern w:val="0"/>
                <w:sz w:val="18"/>
                <w:szCs w:val="18"/>
                <w:lang w:val="en-US" w:eastAsia="zh-CN"/>
              </w:rPr>
              <w:t>17</w:t>
            </w:r>
            <w:r>
              <w:rPr>
                <w:rFonts w:ascii="Times New Roman" w:hAnsi="Times New Roman" w:cs="Times New Roman"/>
                <w:kern w:val="0"/>
                <w:sz w:val="18"/>
                <w:szCs w:val="18"/>
              </w:rPr>
              <w:t>名）</w:t>
            </w:r>
          </w:p>
        </w:tc>
        <w:tc>
          <w:tcPr>
            <w:tcW w:w="879" w:type="dxa"/>
            <w:vMerge w:val="restart"/>
            <w:vAlign w:val="center"/>
          </w:tcPr>
          <w:p>
            <w:pPr>
              <w:keepNext w:val="0"/>
              <w:keepLines w:val="0"/>
              <w:pageBreakBefore w:val="0"/>
              <w:widowControl/>
              <w:kinsoku/>
              <w:wordWrap/>
              <w:overflowPunct/>
              <w:topLinePunct w:val="0"/>
              <w:autoSpaceDE/>
              <w:autoSpaceDN/>
              <w:bidi w:val="0"/>
              <w:adjustRightInd/>
              <w:snapToGrid/>
              <w:spacing w:after="0" w:line="200" w:lineRule="exact"/>
              <w:jc w:val="center"/>
              <w:textAlignment w:val="auto"/>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临床</w:t>
            </w:r>
          </w:p>
        </w:tc>
        <w:tc>
          <w:tcPr>
            <w:tcW w:w="784" w:type="dxa"/>
            <w:vAlign w:val="center"/>
          </w:tcPr>
          <w:p>
            <w:pPr>
              <w:spacing w:after="0" w:line="200" w:lineRule="exact"/>
              <w:jc w:val="center"/>
              <w:rPr>
                <w:rFonts w:hint="eastAsia" w:ascii="Times New Roman" w:hAnsi="Times New Roman" w:cs="Times New Roman" w:eastAsiaTheme="minorEastAsia"/>
                <w:bCs/>
                <w:color w:val="000000" w:themeColor="text1"/>
                <w:sz w:val="18"/>
                <w:szCs w:val="18"/>
                <w:lang w:val="en-US" w:eastAsia="zh-CN"/>
                <w14:textFill>
                  <w14:solidFill>
                    <w14:schemeClr w14:val="tx1"/>
                  </w14:solidFill>
                </w14:textFill>
              </w:rPr>
            </w:pPr>
            <w:r>
              <w:rPr>
                <w:rFonts w:hint="eastAsia" w:ascii="Times New Roman" w:hAnsi="Times New Roman" w:cs="Times New Roman"/>
                <w:bCs/>
                <w:color w:val="000000" w:themeColor="text1"/>
                <w:sz w:val="18"/>
                <w:szCs w:val="18"/>
                <w:lang w:val="en-US" w:eastAsia="zh-CN"/>
                <w14:textFill>
                  <w14:solidFill>
                    <w14:schemeClr w14:val="tx1"/>
                  </w14:solidFill>
                </w14:textFill>
              </w:rPr>
              <w:t>5</w:t>
            </w:r>
          </w:p>
        </w:tc>
        <w:tc>
          <w:tcPr>
            <w:tcW w:w="2177" w:type="dxa"/>
            <w:vMerge w:val="restart"/>
            <w:vAlign w:val="center"/>
          </w:tcPr>
          <w:p>
            <w:pPr>
              <w:widowControl/>
              <w:spacing w:after="0" w:line="200" w:lineRule="exact"/>
              <w:jc w:val="left"/>
              <w:rPr>
                <w:rFonts w:ascii="Times New Roman" w:hAnsi="Times New Roman" w:eastAsia="宋体" w:cs="Times New Roman"/>
                <w:kern w:val="0"/>
                <w:sz w:val="18"/>
                <w:szCs w:val="18"/>
              </w:rPr>
            </w:pPr>
            <w:r>
              <w:rPr>
                <w:rFonts w:ascii="Times New Roman" w:hAnsi="Times New Roman" w:cs="Times New Roman"/>
                <w:color w:val="000000" w:themeColor="text1"/>
                <w:kern w:val="0"/>
                <w:sz w:val="18"/>
                <w:szCs w:val="18"/>
                <w14:textFill>
                  <w14:solidFill>
                    <w14:schemeClr w14:val="tx1"/>
                  </w14:solidFill>
                </w14:textFill>
              </w:rPr>
              <w:t>各科日常诊断、治疗、教学、科研等工作</w:t>
            </w:r>
          </w:p>
        </w:tc>
        <w:tc>
          <w:tcPr>
            <w:tcW w:w="33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儿科学</w:t>
            </w:r>
            <w:r>
              <w:rPr>
                <w:rFonts w:ascii="Times New Roman" w:hAnsi="Times New Roman" w:cs="Times New Roman" w:eastAsiaTheme="minorEastAsia"/>
                <w:sz w:val="18"/>
                <w:szCs w:val="18"/>
              </w:rPr>
              <w:t>、妇产科学、麻醉学、儿外科学、外科学、内科学、急诊医学、重症医学、眼科学、</w:t>
            </w:r>
            <w:r>
              <w:rPr>
                <w:rFonts w:hint="eastAsia" w:ascii="Times New Roman" w:hAnsi="Times New Roman" w:cs="Times New Roman" w:eastAsiaTheme="minorEastAsia"/>
                <w:sz w:val="18"/>
                <w:szCs w:val="18"/>
              </w:rPr>
              <w:t>口腔医学</w:t>
            </w:r>
            <w:r>
              <w:rPr>
                <w:rFonts w:ascii="Times New Roman" w:hAnsi="Times New Roman" w:cs="Times New Roman" w:eastAsiaTheme="minorEastAsia"/>
                <w:sz w:val="18"/>
                <w:szCs w:val="18"/>
              </w:rPr>
              <w:t>等专业；</w:t>
            </w:r>
          </w:p>
          <w:p>
            <w:pPr>
              <w:pStyle w:val="4"/>
              <w:spacing w:before="0" w:beforeAutospacing="0" w:after="0" w:afterAutospacing="0" w:line="200" w:lineRule="exact"/>
              <w:rPr>
                <w:rFonts w:hint="eastAsia" w:ascii="宋体" w:hAnsi="宋体" w:cs="宋体"/>
                <w:color w:val="000000" w:themeColor="text1"/>
                <w:kern w:val="0"/>
                <w:sz w:val="18"/>
                <w:szCs w:val="18"/>
                <w14:textFill>
                  <w14:solidFill>
                    <w14:schemeClr w14:val="tx1"/>
                  </w14:solidFill>
                </w14:textFill>
              </w:rPr>
            </w:pPr>
            <w:r>
              <w:rPr>
                <w:rFonts w:ascii="Times New Roman" w:hAnsi="Times New Roman" w:cs="Times New Roman" w:eastAsiaTheme="minorEastAsia"/>
                <w:sz w:val="18"/>
                <w:szCs w:val="18"/>
              </w:rPr>
              <w:t>研究生学历且博士学位</w:t>
            </w:r>
          </w:p>
        </w:tc>
        <w:tc>
          <w:tcPr>
            <w:tcW w:w="720" w:type="dxa"/>
            <w:vMerge w:val="restart"/>
            <w:vAlign w:val="center"/>
          </w:tcPr>
          <w:p>
            <w:pPr>
              <w:widowControl/>
              <w:spacing w:after="0"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kern w:val="0"/>
                <w:sz w:val="18"/>
                <w:szCs w:val="18"/>
              </w:rPr>
              <w:t>全国范围</w:t>
            </w:r>
          </w:p>
        </w:tc>
        <w:tc>
          <w:tcPr>
            <w:tcW w:w="1817" w:type="dxa"/>
            <w:vMerge w:val="restart"/>
            <w:vAlign w:val="center"/>
          </w:tcPr>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rPr>
              <w:t>6</w:t>
            </w:r>
            <w:r>
              <w:rPr>
                <w:rFonts w:ascii="Times New Roman" w:hAnsi="Times New Roman" w:cs="Times New Roman"/>
                <w:bCs/>
                <w:sz w:val="18"/>
                <w:szCs w:val="18"/>
              </w:rPr>
              <w:t>年普通高校应届毕业生；</w:t>
            </w:r>
          </w:p>
          <w:p>
            <w:pPr>
              <w:widowControl/>
              <w:spacing w:after="0" w:line="200" w:lineRule="exact"/>
              <w:jc w:val="left"/>
              <w:rPr>
                <w:rFonts w:ascii="Times New Roman" w:hAnsi="Times New Roman" w:eastAsia="宋体" w:cs="Times New Roman"/>
                <w:kern w:val="0"/>
                <w:sz w:val="18"/>
                <w:szCs w:val="18"/>
                <w:lang w:val="en-US" w:eastAsia="zh-CN" w:bidi="ar-SA"/>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w:t>
            </w:r>
            <w:r>
              <w:rPr>
                <w:rFonts w:hint="eastAsia" w:ascii="Times New Roman" w:hAnsi="Times New Roman" w:eastAsia="宋体" w:cs="Times New Roman"/>
                <w:kern w:val="0"/>
                <w:sz w:val="18"/>
                <w:szCs w:val="18"/>
              </w:rPr>
              <w:t>8</w:t>
            </w:r>
            <w:r>
              <w:rPr>
                <w:rFonts w:ascii="Times New Roman" w:hAnsi="Times New Roman" w:eastAsia="宋体" w:cs="Times New Roman"/>
                <w:kern w:val="0"/>
                <w:sz w:val="18"/>
                <w:szCs w:val="18"/>
              </w:rPr>
              <w:t>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Merge w:val="continue"/>
            <w:vAlign w:val="center"/>
          </w:tcPr>
          <w:p>
            <w:pPr>
              <w:keepNext w:val="0"/>
              <w:keepLines w:val="0"/>
              <w:pageBreakBefore w:val="0"/>
              <w:widowControl/>
              <w:kinsoku/>
              <w:wordWrap/>
              <w:overflowPunct/>
              <w:topLinePunct w:val="0"/>
              <w:autoSpaceDE/>
              <w:autoSpaceDN/>
              <w:bidi w:val="0"/>
              <w:adjustRightInd/>
              <w:snapToGrid/>
              <w:spacing w:after="0" w:line="200" w:lineRule="exact"/>
              <w:jc w:val="center"/>
              <w:textAlignment w:val="auto"/>
              <w:rPr>
                <w:rFonts w:ascii="Times New Roman" w:hAnsi="Times New Roman" w:eastAsia="宋体" w:cs="Times New Roman"/>
                <w:kern w:val="0"/>
                <w:sz w:val="18"/>
                <w:szCs w:val="18"/>
              </w:rPr>
            </w:pPr>
          </w:p>
        </w:tc>
        <w:tc>
          <w:tcPr>
            <w:tcW w:w="784" w:type="dxa"/>
            <w:vAlign w:val="center"/>
          </w:tcPr>
          <w:p>
            <w:pPr>
              <w:spacing w:after="0" w:line="200" w:lineRule="exact"/>
              <w:jc w:val="center"/>
              <w:rPr>
                <w:rFonts w:hint="default" w:ascii="Times New Roman" w:hAnsi="Times New Roman" w:cs="Times New Roman" w:eastAsiaTheme="minorEastAsia"/>
                <w:bCs/>
                <w:color w:val="000000" w:themeColor="text1"/>
                <w:sz w:val="18"/>
                <w:szCs w:val="18"/>
                <w:lang w:val="en-US" w:eastAsia="zh-CN"/>
                <w14:textFill>
                  <w14:solidFill>
                    <w14:schemeClr w14:val="tx1"/>
                  </w14:solidFill>
                </w14:textFill>
              </w:rPr>
            </w:pPr>
            <w:r>
              <w:rPr>
                <w:rFonts w:hint="eastAsia" w:ascii="Times New Roman" w:hAnsi="Times New Roman" w:cs="Times New Roman"/>
                <w:bCs/>
                <w:color w:val="000000" w:themeColor="text1"/>
                <w:sz w:val="18"/>
                <w:szCs w:val="18"/>
                <w:lang w:val="en-US" w:eastAsia="zh-CN"/>
                <w14:textFill>
                  <w14:solidFill>
                    <w14:schemeClr w14:val="tx1"/>
                  </w14:solidFill>
                </w14:textFill>
              </w:rPr>
              <w:t>10</w:t>
            </w:r>
          </w:p>
        </w:tc>
        <w:tc>
          <w:tcPr>
            <w:tcW w:w="2177" w:type="dxa"/>
            <w:vMerge w:val="continue"/>
            <w:vAlign w:val="center"/>
          </w:tcPr>
          <w:p>
            <w:pPr>
              <w:widowControl/>
              <w:spacing w:after="0" w:line="200" w:lineRule="exact"/>
              <w:jc w:val="left"/>
              <w:rPr>
                <w:rFonts w:ascii="Times New Roman" w:hAnsi="Times New Roman" w:eastAsia="宋体" w:cs="Times New Roman"/>
                <w:kern w:val="0"/>
                <w:sz w:val="18"/>
                <w:szCs w:val="18"/>
              </w:rPr>
            </w:pPr>
          </w:p>
        </w:tc>
        <w:tc>
          <w:tcPr>
            <w:tcW w:w="33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妇产科学、生殖医学、</w:t>
            </w:r>
            <w:r>
              <w:rPr>
                <w:rFonts w:hint="eastAsia" w:ascii="Times New Roman" w:hAnsi="Times New Roman" w:cs="Times New Roman" w:eastAsiaTheme="minorEastAsia"/>
                <w:sz w:val="18"/>
                <w:szCs w:val="18"/>
              </w:rPr>
              <w:t>麻醉学、儿外科学、外科学、</w:t>
            </w:r>
            <w:r>
              <w:rPr>
                <w:rFonts w:ascii="Times New Roman" w:hAnsi="Times New Roman" w:cs="Times New Roman" w:eastAsiaTheme="minorEastAsia"/>
                <w:sz w:val="18"/>
                <w:szCs w:val="18"/>
              </w:rPr>
              <w:t>内科学、急诊医学、重症医学、</w:t>
            </w:r>
            <w:r>
              <w:rPr>
                <w:rFonts w:hint="eastAsia" w:ascii="Times New Roman" w:hAnsi="Times New Roman" w:cs="Times New Roman" w:eastAsiaTheme="minorEastAsia"/>
                <w:sz w:val="18"/>
                <w:szCs w:val="18"/>
              </w:rPr>
              <w:t>眼科学、口腔医学</w:t>
            </w:r>
            <w:r>
              <w:rPr>
                <w:rFonts w:ascii="Times New Roman" w:hAnsi="Times New Roman" w:cs="Times New Roman" w:eastAsiaTheme="minorEastAsia"/>
                <w:sz w:val="18"/>
                <w:szCs w:val="18"/>
              </w:rPr>
              <w:t>等专业；</w:t>
            </w:r>
          </w:p>
          <w:p>
            <w:pPr>
              <w:pStyle w:val="4"/>
              <w:spacing w:before="0" w:beforeAutospacing="0" w:after="0" w:afterAutospacing="0" w:line="200" w:lineRule="exact"/>
              <w:rPr>
                <w:rFonts w:hint="eastAsia" w:ascii="宋体" w:hAnsi="宋体" w:cs="宋体"/>
                <w:color w:val="000000" w:themeColor="text1"/>
                <w:kern w:val="0"/>
                <w:sz w:val="18"/>
                <w:szCs w:val="18"/>
                <w14:textFill>
                  <w14:solidFill>
                    <w14:schemeClr w14:val="tx1"/>
                  </w14:solidFill>
                </w14:textFill>
              </w:rPr>
            </w:pPr>
            <w:r>
              <w:rPr>
                <w:rFonts w:ascii="Times New Roman" w:hAnsi="Times New Roman" w:cs="Times New Roman" w:eastAsiaTheme="minorEastAsia"/>
                <w:sz w:val="18"/>
                <w:szCs w:val="18"/>
              </w:rPr>
              <w:t>研究生学历且</w:t>
            </w:r>
            <w:r>
              <w:rPr>
                <w:rFonts w:ascii="Times New Roman" w:hAnsi="Times New Roman" w:cs="Times New Roman"/>
                <w:sz w:val="18"/>
                <w:szCs w:val="18"/>
              </w:rPr>
              <w:t>硕士及以上学位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宋体" w:cs="Times New Roman"/>
                <w:kern w:val="0"/>
                <w:sz w:val="18"/>
                <w:szCs w:val="18"/>
              </w:rPr>
            </w:pPr>
            <w:r>
              <w:rPr>
                <w:rFonts w:ascii="Times New Roman" w:hAnsi="Times New Roman" w:cs="Times New Roman"/>
                <w:sz w:val="18"/>
                <w:szCs w:val="18"/>
              </w:rPr>
              <w:t>检验</w:t>
            </w:r>
          </w:p>
        </w:tc>
        <w:tc>
          <w:tcPr>
            <w:tcW w:w="784" w:type="dxa"/>
            <w:vAlign w:val="center"/>
          </w:tcPr>
          <w:p>
            <w:pPr>
              <w:widowControl/>
              <w:spacing w:line="200" w:lineRule="exact"/>
              <w:jc w:val="center"/>
              <w:rPr>
                <w:rFonts w:hint="eastAsia" w:ascii="Times New Roman" w:hAnsi="Times New Roman" w:cs="Times New Roman" w:eastAsiaTheme="minorEastAsia"/>
                <w:bCs/>
                <w:color w:val="000000" w:themeColor="text1"/>
                <w:sz w:val="18"/>
                <w:szCs w:val="18"/>
                <w:lang w:eastAsia="zh-CN"/>
                <w14:textFill>
                  <w14:solidFill>
                    <w14:schemeClr w14:val="tx1"/>
                  </w14:solidFill>
                </w14:textFill>
              </w:rPr>
            </w:pPr>
            <w:r>
              <w:rPr>
                <w:rFonts w:hint="eastAsia" w:ascii="Times New Roman" w:hAnsi="Times New Roman" w:cs="Times New Roman"/>
                <w:sz w:val="18"/>
                <w:szCs w:val="18"/>
              </w:rPr>
              <w:t>1</w:t>
            </w:r>
          </w:p>
        </w:tc>
        <w:tc>
          <w:tcPr>
            <w:tcW w:w="2177" w:type="dxa"/>
            <w:vAlign w:val="center"/>
          </w:tcPr>
          <w:p>
            <w:pPr>
              <w:pStyle w:val="4"/>
              <w:spacing w:before="0" w:beforeAutospacing="0" w:after="0" w:afterAutospacing="0" w:line="200" w:lineRule="exact"/>
              <w:rPr>
                <w:rFonts w:ascii="Times New Roman" w:hAnsi="Times New Roman" w:eastAsia="宋体" w:cs="Times New Roman"/>
                <w:kern w:val="0"/>
                <w:sz w:val="18"/>
                <w:szCs w:val="18"/>
              </w:rPr>
            </w:pPr>
            <w:r>
              <w:rPr>
                <w:rFonts w:ascii="Times New Roman" w:hAnsi="Times New Roman" w:cs="Times New Roman" w:eastAsiaTheme="minorEastAsia"/>
                <w:sz w:val="18"/>
                <w:szCs w:val="18"/>
              </w:rPr>
              <w:t>日常诊断、教学、科研等工作</w:t>
            </w:r>
          </w:p>
        </w:tc>
        <w:tc>
          <w:tcPr>
            <w:tcW w:w="33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临床检验诊断学、生物化学与分子生物学、病原微生物学等专业；</w:t>
            </w:r>
          </w:p>
          <w:p>
            <w:pPr>
              <w:pStyle w:val="4"/>
              <w:spacing w:before="0" w:beforeAutospacing="0" w:after="0" w:afterAutospacing="0" w:line="200" w:lineRule="exact"/>
              <w:rPr>
                <w:rFonts w:hint="eastAsia" w:ascii="宋体" w:hAnsi="宋体" w:cs="宋体"/>
                <w:color w:val="000000" w:themeColor="text1"/>
                <w:kern w:val="0"/>
                <w:sz w:val="18"/>
                <w:szCs w:val="18"/>
                <w14:textFill>
                  <w14:solidFill>
                    <w14:schemeClr w14:val="tx1"/>
                  </w14:solidFill>
                </w14:textFill>
              </w:rPr>
            </w:pPr>
            <w:r>
              <w:rPr>
                <w:rFonts w:ascii="Times New Roman" w:hAnsi="Times New Roman" w:cs="Times New Roman" w:eastAsiaTheme="minorEastAsia"/>
                <w:sz w:val="18"/>
                <w:szCs w:val="18"/>
              </w:rPr>
              <w:t>研究生学历且博士学位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Merge w:val="continue"/>
            <w:vAlign w:val="center"/>
          </w:tcPr>
          <w:p>
            <w:pPr>
              <w:widowControl/>
              <w:spacing w:after="0" w:line="200" w:lineRule="exact"/>
              <w:jc w:val="center"/>
              <w:rPr>
                <w:rFonts w:ascii="Times New Roman" w:hAnsi="Times New Roman" w:eastAsia="微软雅黑" w:cs="Times New Roman"/>
                <w:b/>
                <w:color w:val="4D4D4D"/>
                <w:kern w:val="0"/>
                <w:sz w:val="18"/>
                <w:szCs w:val="18"/>
              </w:rPr>
            </w:pPr>
          </w:p>
        </w:tc>
        <w:tc>
          <w:tcPr>
            <w:tcW w:w="879"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宋体" w:cs="Times New Roman"/>
                <w:kern w:val="0"/>
                <w:sz w:val="18"/>
                <w:szCs w:val="18"/>
              </w:rPr>
            </w:pPr>
            <w:r>
              <w:rPr>
                <w:rFonts w:ascii="Times New Roman" w:hAnsi="Times New Roman" w:cs="Times New Roman"/>
                <w:sz w:val="18"/>
                <w:szCs w:val="18"/>
              </w:rPr>
              <w:t>超声</w:t>
            </w:r>
          </w:p>
        </w:tc>
        <w:tc>
          <w:tcPr>
            <w:tcW w:w="784" w:type="dxa"/>
            <w:vAlign w:val="center"/>
          </w:tcPr>
          <w:p>
            <w:pPr>
              <w:widowControl/>
              <w:spacing w:line="200" w:lineRule="exact"/>
              <w:jc w:val="center"/>
              <w:rPr>
                <w:rFonts w:hint="eastAsia" w:ascii="Times New Roman" w:hAnsi="Times New Roman" w:cs="Times New Roman"/>
                <w:bCs/>
                <w:color w:val="000000" w:themeColor="text1"/>
                <w:sz w:val="18"/>
                <w:szCs w:val="18"/>
                <w14:textFill>
                  <w14:solidFill>
                    <w14:schemeClr w14:val="tx1"/>
                  </w14:solidFill>
                </w14:textFill>
              </w:rPr>
            </w:pPr>
            <w:r>
              <w:rPr>
                <w:rFonts w:hint="eastAsia" w:ascii="Times New Roman" w:hAnsi="Times New Roman" w:cs="Times New Roman"/>
                <w:sz w:val="18"/>
                <w:szCs w:val="18"/>
              </w:rPr>
              <w:t>1</w:t>
            </w:r>
          </w:p>
        </w:tc>
        <w:tc>
          <w:tcPr>
            <w:tcW w:w="2177" w:type="dxa"/>
            <w:vAlign w:val="center"/>
          </w:tcPr>
          <w:p>
            <w:pPr>
              <w:pStyle w:val="4"/>
              <w:spacing w:before="0" w:beforeAutospacing="0" w:after="0" w:afterAutospacing="0" w:line="200" w:lineRule="exact"/>
              <w:rPr>
                <w:rFonts w:ascii="Times New Roman" w:hAnsi="Times New Roman" w:eastAsia="宋体" w:cs="Times New Roman"/>
                <w:kern w:val="0"/>
                <w:sz w:val="18"/>
                <w:szCs w:val="18"/>
              </w:rPr>
            </w:pPr>
            <w:r>
              <w:rPr>
                <w:rFonts w:ascii="Times New Roman" w:hAnsi="Times New Roman" w:cs="Times New Roman" w:eastAsiaTheme="minorEastAsia"/>
                <w:sz w:val="18"/>
                <w:szCs w:val="18"/>
              </w:rPr>
              <w:t>日常诊断、教学、科研等工作</w:t>
            </w:r>
          </w:p>
        </w:tc>
        <w:tc>
          <w:tcPr>
            <w:tcW w:w="3336" w:type="dxa"/>
            <w:vAlign w:val="center"/>
          </w:tcPr>
          <w:p>
            <w:pPr>
              <w:pStyle w:val="4"/>
              <w:spacing w:before="0" w:beforeAutospacing="0" w:after="0" w:afterAutospacing="0" w:line="2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影像医学与核医学、影像医学与核医学（超声方向）、超声医学等专业；</w:t>
            </w:r>
          </w:p>
          <w:p>
            <w:pPr>
              <w:pStyle w:val="4"/>
              <w:spacing w:before="0" w:beforeAutospacing="0" w:after="0" w:afterAutospacing="0" w:line="200" w:lineRule="exact"/>
              <w:rPr>
                <w:rFonts w:hint="eastAsia" w:ascii="宋体" w:hAnsi="宋体" w:cs="宋体"/>
                <w:color w:val="000000" w:themeColor="text1"/>
                <w:kern w:val="0"/>
                <w:sz w:val="18"/>
                <w:szCs w:val="18"/>
                <w14:textFill>
                  <w14:solidFill>
                    <w14:schemeClr w14:val="tx1"/>
                  </w14:solidFill>
                </w14:textFill>
              </w:rPr>
            </w:pPr>
            <w:r>
              <w:rPr>
                <w:rFonts w:ascii="Times New Roman" w:hAnsi="Times New Roman" w:cs="Times New Roman" w:eastAsiaTheme="minorEastAsia"/>
                <w:sz w:val="18"/>
                <w:szCs w:val="18"/>
              </w:rPr>
              <w:t>研究生学历且硕士</w:t>
            </w:r>
            <w:r>
              <w:rPr>
                <w:rFonts w:ascii="Times New Roman" w:hAnsi="Times New Roman" w:cs="Times New Roman"/>
                <w:sz w:val="18"/>
                <w:szCs w:val="18"/>
              </w:rPr>
              <w:t>及以上</w:t>
            </w:r>
            <w:r>
              <w:rPr>
                <w:rFonts w:ascii="Times New Roman" w:hAnsi="Times New Roman" w:cs="Times New Roman" w:eastAsiaTheme="minorEastAsia"/>
                <w:sz w:val="18"/>
                <w:szCs w:val="18"/>
              </w:rPr>
              <w:t>学位</w:t>
            </w:r>
          </w:p>
        </w:tc>
        <w:tc>
          <w:tcPr>
            <w:tcW w:w="720"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c>
          <w:tcPr>
            <w:tcW w:w="1817" w:type="dxa"/>
            <w:vMerge w:val="continue"/>
          </w:tcPr>
          <w:p>
            <w:pPr>
              <w:widowControl/>
              <w:spacing w:after="0"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宁波市</w:t>
            </w:r>
          </w:p>
          <w:p>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中医院</w:t>
            </w:r>
          </w:p>
          <w:p>
            <w:pPr>
              <w:widowControl/>
              <w:spacing w:after="0" w:line="200" w:lineRule="exact"/>
              <w:jc w:val="center"/>
              <w:rPr>
                <w:rFonts w:ascii="Times New Roman" w:hAnsi="Times New Roman" w:cs="Times New Roman"/>
                <w:b/>
                <w:color w:val="4D4D4D"/>
                <w:kern w:val="0"/>
                <w:sz w:val="18"/>
                <w:szCs w:val="18"/>
              </w:rPr>
            </w:pP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rPr>
              <w:t>3</w:t>
            </w:r>
            <w:r>
              <w:rPr>
                <w:rFonts w:ascii="Times New Roman" w:hAnsi="Times New Roman" w:eastAsia="宋体" w:cs="Times New Roman"/>
                <w:kern w:val="0"/>
                <w:sz w:val="18"/>
                <w:szCs w:val="18"/>
              </w:rPr>
              <w:t>名）</w:t>
            </w:r>
          </w:p>
        </w:tc>
        <w:tc>
          <w:tcPr>
            <w:tcW w:w="879" w:type="dxa"/>
            <w:vAlign w:val="center"/>
          </w:tcPr>
          <w:p>
            <w:pPr>
              <w:pStyle w:val="4"/>
              <w:spacing w:before="0" w:beforeAutospacing="0" w:after="0" w:afterAutospacing="0" w:line="200" w:lineRule="exact"/>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sz w:val="18"/>
                <w:szCs w:val="18"/>
              </w:rPr>
              <w:t>临床</w:t>
            </w:r>
          </w:p>
        </w:tc>
        <w:tc>
          <w:tcPr>
            <w:tcW w:w="784"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hint="eastAsia" w:ascii="Times New Roman" w:hAnsi="Times New Roman" w:cs="Times New Roman"/>
                <w:sz w:val="18"/>
                <w:szCs w:val="18"/>
              </w:rPr>
              <w:t>3</w:t>
            </w:r>
          </w:p>
        </w:tc>
        <w:tc>
          <w:tcPr>
            <w:tcW w:w="2177"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承担日常诊断、教学、科研等工作</w:t>
            </w:r>
          </w:p>
        </w:tc>
        <w:tc>
          <w:tcPr>
            <w:tcW w:w="3336" w:type="dxa"/>
            <w:vAlign w:val="center"/>
          </w:tcPr>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sz w:val="18"/>
                <w:szCs w:val="18"/>
              </w:rPr>
              <w:t>中医</w:t>
            </w:r>
            <w:r>
              <w:rPr>
                <w:rFonts w:hint="eastAsia" w:ascii="Times New Roman" w:hAnsi="Times New Roman" w:cs="Times New Roman"/>
                <w:sz w:val="18"/>
                <w:szCs w:val="18"/>
              </w:rPr>
              <w:t>：中医眼科学、中医内科学</w:t>
            </w:r>
            <w:r>
              <w:rPr>
                <w:rFonts w:ascii="Times New Roman" w:hAnsi="Times New Roman" w:cs="Times New Roman"/>
                <w:sz w:val="18"/>
                <w:szCs w:val="18"/>
              </w:rPr>
              <w:t>专业；</w:t>
            </w:r>
          </w:p>
          <w:p>
            <w:pPr>
              <w:pStyle w:val="4"/>
              <w:spacing w:before="0" w:beforeAutospacing="0" w:after="0" w:afterAutospacing="0" w:line="200" w:lineRule="exact"/>
              <w:rPr>
                <w:rFonts w:ascii="Times New Roman" w:hAnsi="Times New Roman" w:cs="Times New Roman"/>
                <w:sz w:val="18"/>
                <w:szCs w:val="18"/>
              </w:rPr>
            </w:pPr>
            <w:r>
              <w:rPr>
                <w:rFonts w:hint="eastAsia" w:ascii="Times New Roman" w:hAnsi="Times New Roman" w:cs="Times New Roman"/>
                <w:sz w:val="18"/>
                <w:szCs w:val="18"/>
              </w:rPr>
              <w:t>西医：内科学专业；</w:t>
            </w:r>
          </w:p>
          <w:p>
            <w:pPr>
              <w:pStyle w:val="4"/>
              <w:spacing w:before="0" w:beforeAutospacing="0" w:after="0" w:afterAutospacing="0" w:line="200" w:lineRule="exact"/>
              <w:rPr>
                <w:rFonts w:ascii="Times New Roman" w:hAnsi="Times New Roman" w:cs="Times New Roman"/>
                <w:sz w:val="18"/>
                <w:szCs w:val="18"/>
              </w:rPr>
            </w:pPr>
            <w:r>
              <w:rPr>
                <w:rFonts w:ascii="Times New Roman" w:hAnsi="Times New Roman" w:cs="Times New Roman" w:eastAsiaTheme="minorEastAsia"/>
                <w:sz w:val="18"/>
                <w:szCs w:val="18"/>
              </w:rPr>
              <w:t>研究生学历且</w:t>
            </w:r>
            <w:r>
              <w:rPr>
                <w:rFonts w:ascii="Times New Roman" w:hAnsi="Times New Roman" w:cs="Times New Roman"/>
                <w:sz w:val="18"/>
                <w:szCs w:val="18"/>
              </w:rPr>
              <w:t>硕士及以上学位</w:t>
            </w:r>
          </w:p>
        </w:tc>
        <w:tc>
          <w:tcPr>
            <w:tcW w:w="720" w:type="dxa"/>
            <w:vAlign w:val="center"/>
          </w:tcPr>
          <w:p>
            <w:pPr>
              <w:widowControl/>
              <w:spacing w:after="0"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全国范围</w:t>
            </w:r>
          </w:p>
        </w:tc>
        <w:tc>
          <w:tcPr>
            <w:tcW w:w="1817" w:type="dxa"/>
            <w:vAlign w:val="center"/>
          </w:tcPr>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spacing w:after="0"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rPr>
              <w:t>6</w:t>
            </w:r>
            <w:r>
              <w:rPr>
                <w:rFonts w:ascii="Times New Roman" w:hAnsi="Times New Roman" w:cs="Times New Roman"/>
                <w:bCs/>
                <w:sz w:val="18"/>
                <w:szCs w:val="18"/>
              </w:rPr>
              <w:t>年普通高校应届毕业生；</w:t>
            </w:r>
          </w:p>
          <w:p>
            <w:pPr>
              <w:widowControl/>
              <w:spacing w:after="0" w:line="200" w:lineRule="exact"/>
              <w:jc w:val="left"/>
              <w:rPr>
                <w:rFonts w:ascii="Times New Roman" w:hAnsi="Times New Roman" w:eastAsia="宋体" w:cs="Times New Roman"/>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w:t>
            </w:r>
            <w:r>
              <w:rPr>
                <w:rFonts w:hint="eastAsia" w:ascii="Times New Roman" w:hAnsi="Times New Roman" w:eastAsia="宋体" w:cs="Times New Roman"/>
                <w:kern w:val="0"/>
                <w:sz w:val="18"/>
                <w:szCs w:val="18"/>
              </w:rPr>
              <w:t>8</w:t>
            </w:r>
            <w:r>
              <w:rPr>
                <w:rFonts w:ascii="Times New Roman" w:hAnsi="Times New Roman" w:eastAsia="宋体" w:cs="Times New Roman"/>
                <w:kern w:val="0"/>
                <w:sz w:val="18"/>
                <w:szCs w:val="18"/>
              </w:rPr>
              <w:t>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vAlign w:val="center"/>
          </w:tcPr>
          <w:p>
            <w:pPr>
              <w:widowControl/>
              <w:spacing w:after="0" w:line="200" w:lineRule="exact"/>
              <w:jc w:val="center"/>
              <w:rPr>
                <w:rFonts w:ascii="Times New Roman" w:hAnsi="Times New Roman" w:cs="Times New Roman"/>
                <w:bCs/>
                <w:sz w:val="18"/>
                <w:szCs w:val="18"/>
              </w:rPr>
            </w:pPr>
            <w:r>
              <w:rPr>
                <w:rFonts w:ascii="Times New Roman" w:hAnsi="Times New Roman" w:cs="Times New Roman"/>
                <w:bCs/>
                <w:sz w:val="18"/>
                <w:szCs w:val="18"/>
              </w:rPr>
              <w:t>宁波大学附属康宁医院</w:t>
            </w:r>
          </w:p>
          <w:p>
            <w:pPr>
              <w:widowControl/>
              <w:spacing w:after="0" w:line="200" w:lineRule="exact"/>
              <w:jc w:val="center"/>
              <w:rPr>
                <w:rFonts w:ascii="Times New Roman" w:hAnsi="Times New Roman" w:cs="Times New Roman"/>
                <w:b/>
                <w:color w:val="4D4D4D"/>
                <w:kern w:val="0"/>
                <w:sz w:val="18"/>
                <w:szCs w:val="18"/>
              </w:rPr>
            </w:pPr>
            <w:r>
              <w:rPr>
                <w:rFonts w:ascii="Times New Roman" w:hAnsi="Times New Roman" w:cs="Times New Roman"/>
                <w:bCs/>
                <w:sz w:val="18"/>
                <w:szCs w:val="18"/>
              </w:rPr>
              <w:t>（</w:t>
            </w:r>
            <w:r>
              <w:rPr>
                <w:rFonts w:hint="eastAsia" w:ascii="Times New Roman" w:hAnsi="Times New Roman" w:cs="Times New Roman"/>
                <w:bCs/>
                <w:sz w:val="18"/>
                <w:szCs w:val="18"/>
              </w:rPr>
              <w:t>1</w:t>
            </w:r>
            <w:r>
              <w:rPr>
                <w:rFonts w:ascii="Times New Roman" w:hAnsi="Times New Roman" w:cs="Times New Roman"/>
                <w:bCs/>
                <w:sz w:val="18"/>
                <w:szCs w:val="18"/>
              </w:rPr>
              <w:t>名）</w:t>
            </w:r>
          </w:p>
        </w:tc>
        <w:tc>
          <w:tcPr>
            <w:tcW w:w="879" w:type="dxa"/>
            <w:vAlign w:val="center"/>
          </w:tcPr>
          <w:p>
            <w:pPr>
              <w:pStyle w:val="4"/>
              <w:spacing w:before="0" w:beforeAutospacing="0" w:after="0" w:afterAutospacing="0" w:line="200" w:lineRule="exact"/>
              <w:jc w:val="center"/>
              <w:rPr>
                <w:rFonts w:ascii="Times New Roman" w:hAnsi="Times New Roman" w:cs="Times New Roman"/>
                <w:sz w:val="18"/>
                <w:szCs w:val="18"/>
              </w:rPr>
            </w:pPr>
            <w:r>
              <w:rPr>
                <w:rFonts w:hint="eastAsia" w:ascii="Times New Roman" w:hAnsi="Times New Roman" w:cs="Times New Roman"/>
                <w:sz w:val="18"/>
                <w:szCs w:val="18"/>
              </w:rPr>
              <w:t>公共</w:t>
            </w:r>
          </w:p>
          <w:p>
            <w:pPr>
              <w:pStyle w:val="4"/>
              <w:spacing w:before="0" w:beforeAutospacing="0" w:after="0" w:afterAutospacing="0" w:line="200" w:lineRule="exact"/>
              <w:jc w:val="center"/>
              <w:rPr>
                <w:rFonts w:ascii="Times New Roman" w:hAnsi="Times New Roman" w:cs="Times New Roman"/>
                <w:sz w:val="18"/>
                <w:szCs w:val="18"/>
              </w:rPr>
            </w:pPr>
            <w:r>
              <w:rPr>
                <w:rFonts w:hint="eastAsia" w:ascii="Times New Roman" w:hAnsi="Times New Roman" w:cs="Times New Roman"/>
                <w:sz w:val="18"/>
                <w:szCs w:val="18"/>
              </w:rPr>
              <w:t>卫生</w:t>
            </w:r>
          </w:p>
        </w:tc>
        <w:tc>
          <w:tcPr>
            <w:tcW w:w="784" w:type="dxa"/>
            <w:vAlign w:val="center"/>
          </w:tcPr>
          <w:p>
            <w:pPr>
              <w:widowControl/>
              <w:spacing w:after="0" w:line="200" w:lineRule="exact"/>
              <w:jc w:val="center"/>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2177" w:type="dxa"/>
            <w:vAlign w:val="center"/>
          </w:tcPr>
          <w:p>
            <w:pPr>
              <w:widowControl/>
              <w:spacing w:after="0" w:line="200" w:lineRule="exact"/>
              <w:textAlignment w:val="center"/>
              <w:rPr>
                <w:rFonts w:ascii="Times New Roman" w:hAnsi="Times New Roman" w:eastAsia="宋体" w:cs="Times New Roman"/>
                <w:kern w:val="0"/>
                <w:sz w:val="18"/>
                <w:szCs w:val="18"/>
                <w:highlight w:val="green"/>
              </w:rPr>
            </w:pPr>
            <w:r>
              <w:rPr>
                <w:rFonts w:hint="eastAsia" w:ascii="Times New Roman" w:hAnsi="Times New Roman" w:eastAsia="宋体" w:cs="Times New Roman"/>
                <w:kern w:val="0"/>
                <w:sz w:val="18"/>
                <w:szCs w:val="18"/>
              </w:rPr>
              <w:t>承担严重精神障碍患者的管理等相关公共卫生工作</w:t>
            </w:r>
          </w:p>
        </w:tc>
        <w:tc>
          <w:tcPr>
            <w:tcW w:w="3336" w:type="dxa"/>
            <w:vAlign w:val="center"/>
          </w:tcPr>
          <w:p>
            <w:pPr>
              <w:widowControl/>
              <w:spacing w:after="0" w:line="200" w:lineRule="exact"/>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流行病学与卫生统计学专业；</w:t>
            </w:r>
          </w:p>
          <w:p>
            <w:pPr>
              <w:widowControl/>
              <w:spacing w:after="0" w:line="200" w:lineRule="exact"/>
              <w:textAlignment w:val="center"/>
              <w:rPr>
                <w:rFonts w:ascii="Times New Roman" w:hAnsi="Times New Roman" w:eastAsia="宋体" w:cs="Times New Roman"/>
                <w:kern w:val="0"/>
                <w:sz w:val="18"/>
                <w:szCs w:val="18"/>
                <w:highlight w:val="green"/>
                <w:lang w:bidi="ar"/>
              </w:rPr>
            </w:pPr>
            <w:r>
              <w:rPr>
                <w:rFonts w:ascii="Times New Roman" w:hAnsi="Times New Roman" w:eastAsia="宋体" w:cs="Times New Roman"/>
                <w:kern w:val="0"/>
                <w:sz w:val="18"/>
                <w:szCs w:val="18"/>
                <w:lang w:bidi="ar"/>
              </w:rPr>
              <w:t>研究生学历且硕士及以上学位</w:t>
            </w:r>
            <w:r>
              <w:rPr>
                <w:rFonts w:hint="eastAsia" w:ascii="Times New Roman" w:hAnsi="Times New Roman" w:eastAsia="宋体" w:cs="Times New Roman"/>
                <w:kern w:val="0"/>
                <w:sz w:val="18"/>
                <w:szCs w:val="18"/>
                <w:lang w:bidi="ar"/>
              </w:rPr>
              <w:t>，本科为预防医学专业</w:t>
            </w:r>
          </w:p>
        </w:tc>
        <w:tc>
          <w:tcPr>
            <w:tcW w:w="720" w:type="dxa"/>
            <w:vAlign w:val="center"/>
          </w:tcPr>
          <w:p>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全国</w:t>
            </w:r>
            <w:r>
              <w:rPr>
                <w:rFonts w:hint="eastAsia" w:ascii="Times New Roman" w:hAnsi="Times New Roman" w:eastAsia="宋体" w:cs="Times New Roman"/>
                <w:kern w:val="0"/>
                <w:sz w:val="18"/>
                <w:szCs w:val="18"/>
              </w:rPr>
              <w:t>范围</w:t>
            </w:r>
          </w:p>
        </w:tc>
        <w:tc>
          <w:tcPr>
            <w:tcW w:w="1817" w:type="dxa"/>
            <w:vAlign w:val="center"/>
          </w:tcPr>
          <w:p>
            <w:pPr>
              <w:widowControl/>
              <w:spacing w:after="0" w:line="200" w:lineRule="exact"/>
              <w:jc w:val="left"/>
              <w:rPr>
                <w:rFonts w:ascii="Times New Roman" w:hAnsi="Times New Roman" w:cs="Times New Roman"/>
                <w:b/>
                <w:color w:val="4D4D4D"/>
                <w:kern w:val="0"/>
                <w:sz w:val="18"/>
                <w:szCs w:val="18"/>
              </w:rPr>
            </w:pPr>
            <w:r>
              <w:rPr>
                <w:rFonts w:ascii="Times New Roman" w:hAnsi="Times New Roman" w:cs="Times New Roman"/>
                <w:bCs/>
                <w:sz w:val="18"/>
                <w:szCs w:val="18"/>
              </w:rPr>
              <w:t>202</w:t>
            </w:r>
            <w:r>
              <w:rPr>
                <w:rFonts w:hint="eastAsia" w:ascii="Times New Roman" w:hAnsi="Times New Roman" w:cs="Times New Roman"/>
                <w:bCs/>
                <w:sz w:val="18"/>
                <w:szCs w:val="18"/>
              </w:rPr>
              <w:t>6</w:t>
            </w:r>
            <w:r>
              <w:rPr>
                <w:rFonts w:ascii="Times New Roman" w:hAnsi="Times New Roman" w:cs="Times New Roman"/>
                <w:bCs/>
                <w:sz w:val="18"/>
                <w:szCs w:val="18"/>
              </w:rPr>
              <w:t>年普通高校应届毕业生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宁波市</w:t>
            </w:r>
          </w:p>
          <w:p>
            <w:pPr>
              <w:keepNext w:val="0"/>
              <w:keepLines w:val="0"/>
              <w:pageBreakBefore w:val="0"/>
              <w:widowControl/>
              <w:kinsoku/>
              <w:wordWrap/>
              <w:overflowPunct/>
              <w:topLinePunct w:val="0"/>
              <w:autoSpaceDE/>
              <w:autoSpaceDN/>
              <w:bidi w:val="0"/>
              <w:adjustRightInd/>
              <w:snapToGrid/>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华慈医院</w:t>
            </w:r>
          </w:p>
          <w:p>
            <w:pPr>
              <w:keepNext w:val="0"/>
              <w:keepLines w:val="0"/>
              <w:pageBreakBefore w:val="0"/>
              <w:widowControl/>
              <w:kinsoku/>
              <w:wordWrap/>
              <w:overflowPunct/>
              <w:topLinePunct w:val="0"/>
              <w:autoSpaceDE/>
              <w:autoSpaceDN/>
              <w:bidi w:val="0"/>
              <w:adjustRightInd/>
              <w:snapToGrid/>
              <w:spacing w:after="0"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w:t>
            </w: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名）</w:t>
            </w:r>
          </w:p>
        </w:tc>
        <w:tc>
          <w:tcPr>
            <w:tcW w:w="879" w:type="dxa"/>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rPr>
                <w:rFonts w:ascii="Times New Roman" w:hAnsi="Times New Roman" w:cs="Times New Roman"/>
                <w:sz w:val="18"/>
                <w:szCs w:val="18"/>
              </w:rPr>
            </w:pPr>
            <w:r>
              <w:rPr>
                <w:rFonts w:hint="eastAsia" w:ascii="Times New Roman" w:hAnsi="Times New Roman" w:cs="Times New Roman"/>
                <w:sz w:val="18"/>
                <w:szCs w:val="18"/>
              </w:rPr>
              <w:t>中医骨伤科</w:t>
            </w:r>
          </w:p>
        </w:tc>
        <w:tc>
          <w:tcPr>
            <w:tcW w:w="784" w:type="dxa"/>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2177" w:type="dxa"/>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rPr>
                <w:rFonts w:ascii="Times New Roman" w:hAnsi="Times New Roman" w:cs="Times New Roman"/>
                <w:sz w:val="18"/>
                <w:szCs w:val="18"/>
              </w:rPr>
            </w:pPr>
            <w:r>
              <w:rPr>
                <w:rFonts w:hint="eastAsia" w:ascii="Times New Roman" w:hAnsi="Times New Roman" w:cs="Times New Roman"/>
                <w:sz w:val="18"/>
                <w:szCs w:val="18"/>
              </w:rPr>
              <w:t>承担中医骨伤科门诊及相关临床工作</w:t>
            </w:r>
          </w:p>
        </w:tc>
        <w:tc>
          <w:tcPr>
            <w:tcW w:w="3336"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left"/>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中医骨伤</w:t>
            </w:r>
            <w:r>
              <w:rPr>
                <w:rFonts w:hint="eastAsia" w:ascii="Times New Roman" w:hAnsi="Times New Roman" w:eastAsia="宋体" w:cs="Times New Roman"/>
                <w:kern w:val="0"/>
                <w:sz w:val="18"/>
                <w:szCs w:val="18"/>
                <w:lang w:eastAsia="zh-CN" w:bidi="ar"/>
              </w:rPr>
              <w:t>科学</w:t>
            </w:r>
            <w:r>
              <w:rPr>
                <w:rFonts w:hint="eastAsia" w:ascii="Times New Roman" w:hAnsi="Times New Roman" w:eastAsia="宋体" w:cs="Times New Roman"/>
                <w:kern w:val="0"/>
                <w:sz w:val="18"/>
                <w:szCs w:val="18"/>
                <w:lang w:bidi="ar"/>
              </w:rPr>
              <w:t>专业；</w:t>
            </w:r>
          </w:p>
          <w:p>
            <w:pPr>
              <w:keepNext w:val="0"/>
              <w:keepLines w:val="0"/>
              <w:pageBreakBefore w:val="0"/>
              <w:widowControl/>
              <w:kinsoku/>
              <w:wordWrap/>
              <w:overflowPunct/>
              <w:topLinePunct w:val="0"/>
              <w:autoSpaceDE/>
              <w:autoSpaceDN/>
              <w:bidi w:val="0"/>
              <w:adjustRightInd/>
              <w:snapToGrid/>
              <w:spacing w:after="0"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研究生学历且硕士及以上学位</w:t>
            </w:r>
          </w:p>
        </w:tc>
        <w:tc>
          <w:tcPr>
            <w:tcW w:w="720" w:type="dxa"/>
            <w:vAlign w:val="center"/>
          </w:tcPr>
          <w:p>
            <w:pPr>
              <w:widowControl/>
              <w:spacing w:after="0"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全国</w:t>
            </w:r>
            <w:r>
              <w:rPr>
                <w:rFonts w:hint="eastAsia" w:ascii="Times New Roman" w:hAnsi="Times New Roman" w:eastAsia="宋体" w:cs="Times New Roman"/>
                <w:kern w:val="0"/>
                <w:sz w:val="18"/>
                <w:szCs w:val="18"/>
                <w:lang w:bidi="ar"/>
              </w:rPr>
              <w:t>范围</w:t>
            </w:r>
          </w:p>
        </w:tc>
        <w:tc>
          <w:tcPr>
            <w:tcW w:w="1817" w:type="dxa"/>
            <w:vAlign w:val="center"/>
          </w:tcPr>
          <w:p>
            <w:pPr>
              <w:widowControl/>
              <w:spacing w:after="0" w:line="200" w:lineRule="exact"/>
              <w:jc w:val="lef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1.已取得学历学位的历届生，年龄3</w:t>
            </w:r>
            <w:r>
              <w:rPr>
                <w:rFonts w:hint="eastAsia" w:ascii="Times New Roman" w:hAnsi="Times New Roman" w:eastAsia="宋体" w:cs="Times New Roman"/>
                <w:kern w:val="0"/>
                <w:sz w:val="18"/>
                <w:szCs w:val="18"/>
                <w:lang w:bidi="ar"/>
              </w:rPr>
              <w:t>8</w:t>
            </w:r>
            <w:r>
              <w:rPr>
                <w:rFonts w:ascii="Times New Roman" w:hAnsi="Times New Roman" w:eastAsia="宋体" w:cs="Times New Roman"/>
                <w:kern w:val="0"/>
                <w:sz w:val="18"/>
                <w:szCs w:val="18"/>
                <w:lang w:bidi="ar"/>
              </w:rPr>
              <w:t>周岁以下</w:t>
            </w:r>
            <w:r>
              <w:rPr>
                <w:rFonts w:hint="eastAsia" w:ascii="Times New Roman" w:hAnsi="Times New Roman" w:eastAsia="宋体" w:cs="Times New Roman"/>
                <w:kern w:val="0"/>
                <w:sz w:val="18"/>
                <w:szCs w:val="18"/>
                <w:lang w:bidi="ar"/>
              </w:rPr>
              <w:t>，中级职称年龄可放宽至40周岁</w:t>
            </w:r>
            <w:r>
              <w:rPr>
                <w:rFonts w:ascii="Times New Roman" w:hAnsi="Times New Roman" w:eastAsia="宋体" w:cs="Times New Roman"/>
                <w:kern w:val="0"/>
                <w:sz w:val="18"/>
                <w:szCs w:val="18"/>
                <w:lang w:bidi="ar"/>
              </w:rPr>
              <w:t>；</w:t>
            </w:r>
          </w:p>
          <w:p>
            <w:pPr>
              <w:widowControl/>
              <w:spacing w:after="0" w:line="200" w:lineRule="exact"/>
              <w:jc w:val="lef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w:t>
            </w:r>
            <w:r>
              <w:rPr>
                <w:rFonts w:ascii="Times New Roman" w:hAnsi="Times New Roman" w:eastAsia="宋体" w:cs="Times New Roman"/>
                <w:sz w:val="18"/>
                <w:szCs w:val="18"/>
              </w:rPr>
              <w:t>具有执业医师资格和住院医师规范化培训</w:t>
            </w:r>
            <w:r>
              <w:rPr>
                <w:rFonts w:hint="eastAsia" w:ascii="Times New Roman" w:hAnsi="Times New Roman" w:eastAsia="宋体" w:cs="Times New Roman"/>
                <w:sz w:val="18"/>
                <w:szCs w:val="18"/>
              </w:rPr>
              <w:t>结业证书</w:t>
            </w:r>
            <w:r>
              <w:rPr>
                <w:rFonts w:ascii="Times New Roman" w:hAnsi="Times New Roman" w:eastAsia="宋体" w:cs="Times New Roman"/>
                <w:sz w:val="18"/>
                <w:szCs w:val="18"/>
              </w:rPr>
              <w:t>；</w:t>
            </w:r>
          </w:p>
          <w:p>
            <w:pPr>
              <w:widowControl/>
              <w:spacing w:after="0"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3.有2年及以上</w:t>
            </w:r>
            <w:r>
              <w:rPr>
                <w:rFonts w:hint="eastAsia" w:ascii="Times New Roman" w:hAnsi="Times New Roman" w:eastAsia="宋体" w:cs="Times New Roman"/>
                <w:kern w:val="0"/>
                <w:sz w:val="18"/>
                <w:szCs w:val="18"/>
                <w:lang w:bidi="ar"/>
              </w:rPr>
              <w:t>医疗机构临床工作经验</w:t>
            </w:r>
            <w:r>
              <w:rPr>
                <w:rFonts w:ascii="Times New Roman" w:hAnsi="Times New Roman" w:eastAsia="宋体" w:cs="Times New Roman"/>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06"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宁波市</w:t>
            </w:r>
          </w:p>
          <w:p>
            <w:pPr>
              <w:keepNext w:val="0"/>
              <w:keepLines w:val="0"/>
              <w:pageBreakBefore w:val="0"/>
              <w:widowControl/>
              <w:kinsoku/>
              <w:wordWrap/>
              <w:overflowPunct/>
              <w:topLinePunct w:val="0"/>
              <w:autoSpaceDE/>
              <w:autoSpaceDN/>
              <w:bidi w:val="0"/>
              <w:adjustRightInd/>
              <w:snapToGrid/>
              <w:spacing w:after="0"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医学学术交流管理中心</w:t>
            </w:r>
          </w:p>
          <w:p>
            <w:pPr>
              <w:keepNext w:val="0"/>
              <w:keepLines w:val="0"/>
              <w:pageBreakBefore w:val="0"/>
              <w:widowControl/>
              <w:kinsoku/>
              <w:wordWrap/>
              <w:overflowPunct/>
              <w:topLinePunct w:val="0"/>
              <w:autoSpaceDE/>
              <w:autoSpaceDN/>
              <w:bidi w:val="0"/>
              <w:adjustRightInd/>
              <w:snapToGrid/>
              <w:spacing w:after="0"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w:t>
            </w:r>
            <w:r>
              <w:rPr>
                <w:rFonts w:hint="eastAsia" w:ascii="Times New Roman" w:hAnsi="Times New Roman" w:eastAsia="宋体" w:cs="Times New Roman"/>
                <w:kern w:val="0"/>
                <w:sz w:val="18"/>
                <w:szCs w:val="18"/>
                <w:lang w:bidi="ar"/>
              </w:rPr>
              <w:t>1</w:t>
            </w:r>
            <w:r>
              <w:rPr>
                <w:rFonts w:ascii="Times New Roman" w:hAnsi="Times New Roman" w:eastAsia="宋体" w:cs="Times New Roman"/>
                <w:kern w:val="0"/>
                <w:sz w:val="18"/>
                <w:szCs w:val="18"/>
                <w:lang w:bidi="ar"/>
              </w:rPr>
              <w:t>名）</w:t>
            </w:r>
          </w:p>
        </w:tc>
        <w:tc>
          <w:tcPr>
            <w:tcW w:w="879"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center"/>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医学</w:t>
            </w:r>
          </w:p>
          <w:p>
            <w:pPr>
              <w:keepNext w:val="0"/>
              <w:keepLines w:val="0"/>
              <w:pageBreakBefore w:val="0"/>
              <w:widowControl/>
              <w:kinsoku/>
              <w:wordWrap/>
              <w:overflowPunct/>
              <w:topLinePunct w:val="0"/>
              <w:autoSpaceDE/>
              <w:autoSpaceDN/>
              <w:bidi w:val="0"/>
              <w:adjustRightInd/>
              <w:snapToGrid/>
              <w:spacing w:after="0" w:line="200" w:lineRule="exact"/>
              <w:jc w:val="center"/>
              <w:rPr>
                <w:rFonts w:ascii="Times New Roman" w:hAnsi="Times New Roman" w:cs="Times New Roman"/>
                <w:sz w:val="18"/>
                <w:szCs w:val="18"/>
              </w:rPr>
            </w:pPr>
            <w:r>
              <w:rPr>
                <w:rFonts w:hint="eastAsia" w:ascii="宋体" w:hAnsi="宋体" w:cs="宋体"/>
                <w:bCs/>
                <w:color w:val="000000" w:themeColor="text1"/>
                <w:sz w:val="18"/>
                <w:szCs w:val="18"/>
                <w14:textFill>
                  <w14:solidFill>
                    <w14:schemeClr w14:val="tx1"/>
                  </w14:solidFill>
                </w14:textFill>
              </w:rPr>
              <w:t>鉴定</w:t>
            </w:r>
          </w:p>
        </w:tc>
        <w:tc>
          <w:tcPr>
            <w:tcW w:w="784"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center"/>
              <w:rPr>
                <w:rFonts w:ascii="Times New Roman" w:hAnsi="Times New Roman" w:cs="Times New Roman"/>
                <w:sz w:val="18"/>
                <w:szCs w:val="18"/>
              </w:rPr>
            </w:pPr>
            <w:r>
              <w:rPr>
                <w:rFonts w:hint="eastAsia" w:ascii="宋体" w:hAnsi="宋体" w:cs="宋体"/>
                <w:bCs/>
                <w:color w:val="000000" w:themeColor="text1"/>
                <w:sz w:val="18"/>
                <w:szCs w:val="18"/>
                <w14:textFill>
                  <w14:solidFill>
                    <w14:schemeClr w14:val="tx1"/>
                  </w14:solidFill>
                </w14:textFill>
              </w:rPr>
              <w:t>1</w:t>
            </w:r>
          </w:p>
        </w:tc>
        <w:tc>
          <w:tcPr>
            <w:tcW w:w="2177"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left"/>
              <w:rPr>
                <w:rFonts w:ascii="Times New Roman" w:hAnsi="Times New Roman" w:cs="Times New Roman"/>
                <w:sz w:val="18"/>
                <w:szCs w:val="18"/>
              </w:rPr>
            </w:pPr>
            <w:r>
              <w:rPr>
                <w:rFonts w:hint="eastAsia" w:ascii="Times New Roman" w:hAnsi="Times New Roman" w:eastAsia="宋体" w:cs="Times New Roman"/>
                <w:kern w:val="0"/>
                <w:sz w:val="18"/>
                <w:szCs w:val="18"/>
              </w:rPr>
              <w:t>承担医学鉴定工作</w:t>
            </w:r>
          </w:p>
        </w:tc>
        <w:tc>
          <w:tcPr>
            <w:tcW w:w="3336"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left"/>
              <w:rPr>
                <w:rFonts w:hint="eastAsia" w:ascii="宋体" w:hAnsi="宋体" w:cs="宋体"/>
                <w:bCs/>
                <w:sz w:val="18"/>
                <w:szCs w:val="18"/>
              </w:rPr>
            </w:pPr>
            <w:r>
              <w:rPr>
                <w:rFonts w:hint="eastAsia" w:ascii="Times New Roman" w:hAnsi="Times New Roman" w:cs="Times New Roman"/>
                <w:color w:val="000000" w:themeColor="text1"/>
                <w:kern w:val="0"/>
                <w:sz w:val="18"/>
                <w:szCs w:val="18"/>
                <w14:textFill>
                  <w14:solidFill>
                    <w14:schemeClr w14:val="tx1"/>
                  </w14:solidFill>
                </w14:textFill>
              </w:rPr>
              <w:t>临床医学</w:t>
            </w:r>
            <w:r>
              <w:rPr>
                <w:rFonts w:hint="eastAsia" w:cs="Times New Roman"/>
                <w:color w:val="000000" w:themeColor="text1"/>
                <w:kern w:val="0"/>
                <w:sz w:val="18"/>
                <w:szCs w:val="18"/>
                <w14:textFill>
                  <w14:solidFill>
                    <w14:schemeClr w14:val="tx1"/>
                  </w14:solidFill>
                </w14:textFill>
              </w:rPr>
              <w:t>类</w:t>
            </w:r>
            <w:r>
              <w:rPr>
                <w:rFonts w:hint="eastAsia" w:ascii="宋体" w:hAnsi="宋体" w:cs="宋体"/>
                <w:bCs/>
                <w:sz w:val="18"/>
                <w:szCs w:val="18"/>
              </w:rPr>
              <w:t>专业；</w:t>
            </w:r>
          </w:p>
          <w:p>
            <w:pPr>
              <w:keepNext w:val="0"/>
              <w:keepLines w:val="0"/>
              <w:pageBreakBefore w:val="0"/>
              <w:widowControl/>
              <w:kinsoku/>
              <w:wordWrap/>
              <w:overflowPunct/>
              <w:topLinePunct w:val="0"/>
              <w:autoSpaceDE/>
              <w:autoSpaceDN/>
              <w:bidi w:val="0"/>
              <w:adjustRightInd/>
              <w:snapToGrid/>
              <w:spacing w:after="0" w:line="200" w:lineRule="exact"/>
              <w:jc w:val="left"/>
              <w:rPr>
                <w:rFonts w:ascii="Times New Roman" w:hAnsi="Times New Roman" w:eastAsia="宋体" w:cs="Times New Roman"/>
                <w:kern w:val="0"/>
                <w:sz w:val="18"/>
                <w:szCs w:val="18"/>
                <w:lang w:bidi="ar"/>
              </w:rPr>
            </w:pPr>
            <w:r>
              <w:rPr>
                <w:rFonts w:ascii="宋体" w:hAnsi="宋体" w:cs="宋体"/>
                <w:bCs/>
                <w:sz w:val="18"/>
                <w:szCs w:val="18"/>
              </w:rPr>
              <w:t>研究生</w:t>
            </w:r>
            <w:r>
              <w:rPr>
                <w:rFonts w:hint="eastAsia" w:ascii="宋体" w:hAnsi="宋体" w:cs="宋体"/>
                <w:bCs/>
                <w:sz w:val="18"/>
                <w:szCs w:val="18"/>
              </w:rPr>
              <w:t>学历</w:t>
            </w:r>
            <w:r>
              <w:rPr>
                <w:rFonts w:ascii="Times New Roman" w:hAnsi="Times New Roman" w:eastAsia="宋体" w:cs="Times New Roman"/>
                <w:kern w:val="0"/>
                <w:sz w:val="18"/>
                <w:szCs w:val="18"/>
                <w:lang w:bidi="ar"/>
              </w:rPr>
              <w:t>且</w:t>
            </w:r>
            <w:r>
              <w:rPr>
                <w:rFonts w:ascii="宋体" w:hAnsi="宋体" w:cs="宋体"/>
                <w:bCs/>
                <w:sz w:val="18"/>
                <w:szCs w:val="18"/>
              </w:rPr>
              <w:t>硕士</w:t>
            </w:r>
            <w:r>
              <w:rPr>
                <w:rFonts w:hint="eastAsia" w:ascii="宋体" w:hAnsi="宋体" w:cs="宋体"/>
                <w:bCs/>
                <w:sz w:val="18"/>
                <w:szCs w:val="18"/>
              </w:rPr>
              <w:t>及</w:t>
            </w:r>
            <w:r>
              <w:rPr>
                <w:rFonts w:ascii="宋体" w:hAnsi="宋体" w:cs="宋体"/>
                <w:bCs/>
                <w:sz w:val="18"/>
                <w:szCs w:val="18"/>
              </w:rPr>
              <w:t>以上学位</w:t>
            </w:r>
          </w:p>
        </w:tc>
        <w:tc>
          <w:tcPr>
            <w:tcW w:w="720" w:type="dxa"/>
            <w:vAlign w:val="center"/>
          </w:tcPr>
          <w:p>
            <w:pPr>
              <w:widowControl/>
              <w:spacing w:after="0"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全国</w:t>
            </w:r>
            <w:r>
              <w:rPr>
                <w:rFonts w:hint="eastAsia" w:ascii="Times New Roman" w:hAnsi="Times New Roman" w:eastAsia="宋体" w:cs="Times New Roman"/>
                <w:kern w:val="0"/>
                <w:sz w:val="18"/>
                <w:szCs w:val="18"/>
                <w:lang w:bidi="ar"/>
              </w:rPr>
              <w:t>范围</w:t>
            </w:r>
          </w:p>
        </w:tc>
        <w:tc>
          <w:tcPr>
            <w:tcW w:w="1817" w:type="dxa"/>
            <w:vAlign w:val="center"/>
          </w:tcPr>
          <w:p>
            <w:pPr>
              <w:widowControl/>
              <w:spacing w:after="0"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符合下列条件之一：</w:t>
            </w:r>
          </w:p>
          <w:p>
            <w:pPr>
              <w:widowControl/>
              <w:spacing w:after="0"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202</w:t>
            </w:r>
            <w:r>
              <w:rPr>
                <w:rFonts w:hint="eastAsia" w:ascii="Times New Roman" w:hAnsi="Times New Roman" w:eastAsia="宋体" w:cs="Times New Roman"/>
                <w:kern w:val="0"/>
                <w:sz w:val="18"/>
                <w:szCs w:val="18"/>
              </w:rPr>
              <w:t>6</w:t>
            </w:r>
            <w:r>
              <w:rPr>
                <w:rFonts w:ascii="Times New Roman" w:hAnsi="Times New Roman" w:eastAsia="宋体" w:cs="Times New Roman"/>
                <w:kern w:val="0"/>
                <w:sz w:val="18"/>
                <w:szCs w:val="18"/>
              </w:rPr>
              <w:t>年普通高校应届毕业生；</w:t>
            </w:r>
          </w:p>
          <w:p>
            <w:pPr>
              <w:widowControl/>
              <w:spacing w:after="0" w:line="200" w:lineRule="exact"/>
              <w:jc w:val="left"/>
              <w:textAlignment w:val="center"/>
              <w:rPr>
                <w:rFonts w:ascii="Times New Roman" w:hAnsi="Times New Roman" w:eastAsia="宋体" w:cs="Times New Roman"/>
                <w:kern w:val="0"/>
                <w:sz w:val="18"/>
                <w:szCs w:val="18"/>
                <w:highlight w:val="yellow"/>
                <w:lang w:bidi="ar"/>
              </w:rPr>
            </w:pPr>
            <w:r>
              <w:rPr>
                <w:rFonts w:ascii="Times New Roman" w:hAnsi="Times New Roman" w:eastAsia="宋体" w:cs="Times New Roman"/>
                <w:kern w:val="0"/>
                <w:sz w:val="18"/>
                <w:szCs w:val="18"/>
              </w:rPr>
              <w:t>2</w:t>
            </w:r>
            <w:r>
              <w:rPr>
                <w:rFonts w:hint="eastAsia" w:ascii="Times New Roman" w:hAnsi="Times New Roman" w:eastAsia="宋体" w:cs="Times New Roman"/>
                <w:kern w:val="0"/>
                <w:sz w:val="18"/>
                <w:szCs w:val="18"/>
              </w:rPr>
              <w:t>.</w:t>
            </w:r>
            <w:r>
              <w:rPr>
                <w:rFonts w:hint="eastAsia"/>
              </w:rPr>
              <w:t xml:space="preserve"> </w:t>
            </w:r>
            <w:r>
              <w:rPr>
                <w:rFonts w:hint="eastAsia" w:ascii="Times New Roman" w:hAnsi="Times New Roman" w:eastAsia="宋体" w:cs="Times New Roman"/>
                <w:kern w:val="0"/>
                <w:sz w:val="18"/>
                <w:szCs w:val="18"/>
              </w:rPr>
              <w:t>已取得学历学位的历届生，年龄38周岁以下，中级职称年龄可放宽至40周岁；具有执业医师资格和住院医师规范化培训结业证书；有2年及以上医疗机构临床工作经验。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006" w:type="dxa"/>
            <w:vMerge w:val="restart"/>
            <w:vAlign w:val="center"/>
          </w:tcPr>
          <w:p>
            <w:pPr>
              <w:keepNext w:val="0"/>
              <w:keepLines w:val="0"/>
              <w:pageBreakBefore w:val="0"/>
              <w:widowControl/>
              <w:kinsoku/>
              <w:wordWrap/>
              <w:overflowPunct/>
              <w:topLinePunct w:val="0"/>
              <w:autoSpaceDE/>
              <w:autoSpaceDN/>
              <w:bidi w:val="0"/>
              <w:adjustRightInd/>
              <w:snapToGrid/>
              <w:spacing w:after="0" w:line="200" w:lineRule="exact"/>
              <w:jc w:val="center"/>
              <w:rPr>
                <w:rFonts w:ascii="Times New Roman" w:hAnsi="Times New Roman" w:cs="Times New Roman"/>
                <w:sz w:val="18"/>
                <w:szCs w:val="18"/>
              </w:rPr>
            </w:pPr>
            <w:r>
              <w:rPr>
                <w:rFonts w:ascii="Times New Roman" w:hAnsi="Times New Roman" w:cs="Times New Roman"/>
                <w:sz w:val="18"/>
                <w:szCs w:val="18"/>
              </w:rPr>
              <w:t>宁波市临床病理诊断中心</w:t>
            </w:r>
          </w:p>
          <w:p>
            <w:pPr>
              <w:keepNext w:val="0"/>
              <w:keepLines w:val="0"/>
              <w:pageBreakBefore w:val="0"/>
              <w:widowControl/>
              <w:kinsoku/>
              <w:wordWrap/>
              <w:overflowPunct/>
              <w:topLinePunct w:val="0"/>
              <w:autoSpaceDE/>
              <w:autoSpaceDN/>
              <w:bidi w:val="0"/>
              <w:adjustRightInd/>
              <w:snapToGrid/>
              <w:spacing w:after="0" w:line="200" w:lineRule="exact"/>
              <w:jc w:val="center"/>
              <w:rPr>
                <w:rFonts w:ascii="Times New Roman" w:hAnsi="Times New Roman" w:cs="Times New Roman"/>
                <w:sz w:val="18"/>
                <w:szCs w:val="18"/>
              </w:rPr>
            </w:pPr>
            <w:r>
              <w:rPr>
                <w:rFonts w:ascii="Times New Roman" w:hAnsi="Times New Roman" w:cs="Times New Roman"/>
                <w:sz w:val="18"/>
                <w:szCs w:val="18"/>
              </w:rPr>
              <w:t>（</w:t>
            </w:r>
            <w:r>
              <w:rPr>
                <w:rFonts w:hint="eastAsia" w:ascii="Times New Roman" w:hAnsi="Times New Roman" w:cs="Times New Roman"/>
                <w:sz w:val="18"/>
                <w:szCs w:val="18"/>
              </w:rPr>
              <w:t>5</w:t>
            </w:r>
            <w:r>
              <w:rPr>
                <w:rFonts w:ascii="Times New Roman" w:hAnsi="Times New Roman" w:cs="Times New Roman"/>
                <w:sz w:val="18"/>
                <w:szCs w:val="18"/>
              </w:rPr>
              <w:t>名）</w:t>
            </w:r>
          </w:p>
        </w:tc>
        <w:tc>
          <w:tcPr>
            <w:tcW w:w="879" w:type="dxa"/>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rPr>
                <w:rFonts w:hint="eastAsia"/>
                <w:sz w:val="18"/>
                <w:szCs w:val="18"/>
              </w:rPr>
            </w:pPr>
            <w:r>
              <w:rPr>
                <w:rFonts w:hint="eastAsia"/>
                <w:sz w:val="18"/>
                <w:szCs w:val="18"/>
              </w:rPr>
              <w:t>病理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rPr>
                <w:rFonts w:ascii="Times New Roman" w:hAnsi="Times New Roman" w:cs="Times New Roman"/>
                <w:b/>
                <w:color w:val="000000"/>
                <w:sz w:val="18"/>
                <w:szCs w:val="18"/>
              </w:rPr>
            </w:pPr>
            <w:r>
              <w:rPr>
                <w:rFonts w:hint="eastAsia"/>
                <w:sz w:val="18"/>
                <w:szCs w:val="18"/>
              </w:rPr>
              <w:t>诊断</w:t>
            </w:r>
          </w:p>
        </w:tc>
        <w:tc>
          <w:tcPr>
            <w:tcW w:w="784" w:type="dxa"/>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rPr>
                <w:rFonts w:ascii="Times New Roman" w:hAnsi="Times New Roman" w:cs="Times New Roman"/>
                <w:b/>
                <w:color w:val="000000"/>
                <w:sz w:val="18"/>
                <w:szCs w:val="18"/>
              </w:rPr>
            </w:pPr>
            <w:r>
              <w:rPr>
                <w:rFonts w:hint="eastAsia" w:ascii="Times New Roman" w:hAnsi="Times New Roman" w:cs="Times New Roman"/>
                <w:bCs/>
                <w:color w:val="000000"/>
                <w:sz w:val="18"/>
                <w:szCs w:val="18"/>
                <w:lang w:val="en-US" w:eastAsia="zh-CN"/>
              </w:rPr>
              <w:t>4</w:t>
            </w:r>
          </w:p>
        </w:tc>
        <w:tc>
          <w:tcPr>
            <w:tcW w:w="2177"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left"/>
              <w:rPr>
                <w:rFonts w:ascii="Times New Roman" w:hAnsi="Times New Roman" w:eastAsia="宋体" w:cs="Times New Roman"/>
                <w:b/>
                <w:color w:val="000000"/>
                <w:sz w:val="18"/>
                <w:szCs w:val="18"/>
              </w:rPr>
            </w:pPr>
            <w:r>
              <w:rPr>
                <w:rFonts w:ascii="Times New Roman" w:hAnsi="Times New Roman" w:cs="Times New Roman"/>
                <w:kern w:val="0"/>
                <w:sz w:val="18"/>
                <w:szCs w:val="18"/>
              </w:rPr>
              <w:t>承担临床病理诊断、教学、科研</w:t>
            </w:r>
            <w:r>
              <w:rPr>
                <w:rFonts w:hint="eastAsia" w:ascii="Times New Roman" w:hAnsi="Times New Roman" w:cs="Times New Roman"/>
                <w:kern w:val="0"/>
                <w:sz w:val="18"/>
                <w:szCs w:val="18"/>
              </w:rPr>
              <w:t>、实验相关</w:t>
            </w:r>
            <w:r>
              <w:rPr>
                <w:rFonts w:ascii="Times New Roman" w:hAnsi="Times New Roman" w:cs="Times New Roman"/>
                <w:kern w:val="0"/>
                <w:sz w:val="18"/>
                <w:szCs w:val="18"/>
              </w:rPr>
              <w:t>工作</w:t>
            </w:r>
          </w:p>
        </w:tc>
        <w:tc>
          <w:tcPr>
            <w:tcW w:w="3336"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left"/>
              <w:rPr>
                <w:rFonts w:ascii="Times New Roman" w:hAnsi="Times New Roman" w:cs="Times New Roman"/>
                <w:kern w:val="0"/>
                <w:sz w:val="18"/>
                <w:szCs w:val="18"/>
              </w:rPr>
            </w:pPr>
            <w:r>
              <w:rPr>
                <w:rFonts w:hint="eastAsia" w:ascii="Times New Roman" w:hAnsi="Times New Roman" w:cs="Times New Roman"/>
                <w:kern w:val="0"/>
                <w:sz w:val="18"/>
                <w:szCs w:val="18"/>
              </w:rPr>
              <w:t>临床医学、基础医学类相关专业</w:t>
            </w:r>
            <w:r>
              <w:rPr>
                <w:rFonts w:ascii="Times New Roman" w:hAnsi="Times New Roman" w:cs="Times New Roman"/>
                <w:kern w:val="0"/>
                <w:sz w:val="18"/>
                <w:szCs w:val="18"/>
              </w:rPr>
              <w:t>；</w:t>
            </w:r>
          </w:p>
          <w:p>
            <w:pPr>
              <w:keepNext w:val="0"/>
              <w:keepLines w:val="0"/>
              <w:pageBreakBefore w:val="0"/>
              <w:widowControl/>
              <w:kinsoku/>
              <w:wordWrap/>
              <w:overflowPunct/>
              <w:topLinePunct w:val="0"/>
              <w:autoSpaceDE/>
              <w:autoSpaceDN/>
              <w:bidi w:val="0"/>
              <w:adjustRightInd/>
              <w:snapToGrid/>
              <w:spacing w:after="0" w:line="200" w:lineRule="exact"/>
              <w:rPr>
                <w:rFonts w:ascii="Times New Roman" w:hAnsi="Times New Roman" w:cs="Times New Roman"/>
                <w:b/>
                <w:color w:val="000000"/>
                <w:sz w:val="18"/>
                <w:szCs w:val="18"/>
              </w:rPr>
            </w:pPr>
            <w:r>
              <w:rPr>
                <w:rFonts w:ascii="Times New Roman" w:hAnsi="Times New Roman" w:cs="Times New Roman"/>
                <w:kern w:val="0"/>
                <w:sz w:val="18"/>
                <w:szCs w:val="18"/>
              </w:rPr>
              <w:t>研究生学历且</w:t>
            </w:r>
            <w:r>
              <w:rPr>
                <w:rFonts w:hint="eastAsia" w:ascii="Times New Roman" w:hAnsi="Times New Roman" w:cs="Times New Roman"/>
                <w:kern w:val="0"/>
                <w:sz w:val="18"/>
                <w:szCs w:val="18"/>
              </w:rPr>
              <w:t>博士</w:t>
            </w:r>
            <w:r>
              <w:rPr>
                <w:rFonts w:ascii="Times New Roman" w:hAnsi="Times New Roman" w:cs="Times New Roman"/>
                <w:kern w:val="0"/>
                <w:sz w:val="18"/>
                <w:szCs w:val="18"/>
              </w:rPr>
              <w:t>学位</w:t>
            </w:r>
            <w:r>
              <w:rPr>
                <w:rFonts w:hint="eastAsia" w:ascii="Times New Roman" w:hAnsi="Times New Roman" w:cs="Times New Roman"/>
                <w:kern w:val="0"/>
                <w:sz w:val="18"/>
                <w:szCs w:val="18"/>
              </w:rPr>
              <w:t>，本科为临床医学专业</w:t>
            </w:r>
          </w:p>
        </w:tc>
        <w:tc>
          <w:tcPr>
            <w:tcW w:w="720" w:type="dxa"/>
            <w:vMerge w:val="restart"/>
            <w:vAlign w:val="center"/>
          </w:tcPr>
          <w:p>
            <w:pPr>
              <w:widowControl/>
              <w:spacing w:after="0"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全国</w:t>
            </w:r>
            <w:r>
              <w:rPr>
                <w:rFonts w:hint="eastAsia" w:ascii="Times New Roman" w:hAnsi="Times New Roman" w:eastAsia="宋体" w:cs="Times New Roman"/>
                <w:kern w:val="0"/>
                <w:sz w:val="18"/>
                <w:szCs w:val="18"/>
                <w:lang w:bidi="ar"/>
              </w:rPr>
              <w:t>范围</w:t>
            </w:r>
          </w:p>
        </w:tc>
        <w:tc>
          <w:tcPr>
            <w:tcW w:w="1817" w:type="dxa"/>
            <w:vMerge w:val="restart"/>
            <w:vAlign w:val="center"/>
          </w:tcPr>
          <w:p>
            <w:pPr>
              <w:widowControl/>
              <w:spacing w:after="0"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符合下列条件之一：</w:t>
            </w:r>
          </w:p>
          <w:p>
            <w:pPr>
              <w:widowControl/>
              <w:spacing w:after="0"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202</w:t>
            </w:r>
            <w:r>
              <w:rPr>
                <w:rFonts w:hint="eastAsia" w:ascii="Times New Roman" w:hAnsi="Times New Roman" w:eastAsia="宋体" w:cs="Times New Roman"/>
                <w:kern w:val="0"/>
                <w:sz w:val="18"/>
                <w:szCs w:val="18"/>
              </w:rPr>
              <w:t>6</w:t>
            </w:r>
            <w:r>
              <w:rPr>
                <w:rFonts w:ascii="Times New Roman" w:hAnsi="Times New Roman" w:eastAsia="宋体" w:cs="Times New Roman"/>
                <w:kern w:val="0"/>
                <w:sz w:val="18"/>
                <w:szCs w:val="18"/>
              </w:rPr>
              <w:t>年普通高校应届毕业生；</w:t>
            </w:r>
          </w:p>
          <w:p>
            <w:pPr>
              <w:widowControl/>
              <w:spacing w:after="0" w:line="200" w:lineRule="exact"/>
              <w:jc w:val="lef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rPr>
              <w:t>2</w:t>
            </w:r>
            <w:r>
              <w:rPr>
                <w:rFonts w:hint="eastAsia" w:ascii="Times New Roman" w:hAnsi="Times New Roman" w:eastAsia="宋体" w:cs="Times New Roman"/>
                <w:kern w:val="0"/>
                <w:sz w:val="18"/>
                <w:szCs w:val="18"/>
              </w:rPr>
              <w:t>.</w:t>
            </w:r>
            <w:r>
              <w:rPr>
                <w:rFonts w:ascii="Times New Roman" w:hAnsi="Times New Roman" w:eastAsia="宋体" w:cs="Times New Roman"/>
                <w:kern w:val="0"/>
                <w:sz w:val="18"/>
                <w:szCs w:val="18"/>
              </w:rPr>
              <w:t>已取得学历学位的历届生，年龄3</w:t>
            </w:r>
            <w:r>
              <w:rPr>
                <w:rFonts w:hint="eastAsia" w:ascii="Times New Roman" w:hAnsi="Times New Roman" w:eastAsia="宋体" w:cs="Times New Roman"/>
                <w:kern w:val="0"/>
                <w:sz w:val="18"/>
                <w:szCs w:val="18"/>
              </w:rPr>
              <w:t>8</w:t>
            </w:r>
            <w:r>
              <w:rPr>
                <w:rFonts w:ascii="Times New Roman" w:hAnsi="Times New Roman" w:eastAsia="宋体" w:cs="Times New Roman"/>
                <w:kern w:val="0"/>
                <w:sz w:val="18"/>
                <w:szCs w:val="18"/>
              </w:rPr>
              <w:t>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006" w:type="dxa"/>
            <w:vMerge w:val="continue"/>
            <w:vAlign w:val="center"/>
          </w:tcPr>
          <w:p>
            <w:pPr>
              <w:keepNext w:val="0"/>
              <w:keepLines w:val="0"/>
              <w:pageBreakBefore w:val="0"/>
              <w:widowControl/>
              <w:kinsoku/>
              <w:wordWrap/>
              <w:overflowPunct/>
              <w:topLinePunct w:val="0"/>
              <w:autoSpaceDE/>
              <w:autoSpaceDN/>
              <w:bidi w:val="0"/>
              <w:adjustRightInd/>
              <w:snapToGrid/>
              <w:spacing w:after="0" w:line="200" w:lineRule="exact"/>
              <w:jc w:val="center"/>
              <w:rPr>
                <w:rFonts w:ascii="Times New Roman" w:hAnsi="Times New Roman" w:eastAsia="宋体" w:cs="Times New Roman"/>
                <w:kern w:val="0"/>
                <w:sz w:val="18"/>
                <w:szCs w:val="18"/>
                <w:lang w:bidi="ar"/>
              </w:rPr>
            </w:pPr>
          </w:p>
        </w:tc>
        <w:tc>
          <w:tcPr>
            <w:tcW w:w="879"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center"/>
              <w:rPr>
                <w:rFonts w:ascii="Times New Roman" w:hAnsi="Times New Roman" w:eastAsia="宋体" w:cs="Times New Roman"/>
                <w:bCs/>
                <w:color w:val="000000"/>
                <w:sz w:val="18"/>
                <w:szCs w:val="18"/>
              </w:rPr>
            </w:pPr>
            <w:r>
              <w:rPr>
                <w:rFonts w:hint="eastAsia" w:ascii="宋体" w:hAnsi="宋体" w:cs="宋体"/>
                <w:bCs/>
                <w:color w:val="000000"/>
                <w:sz w:val="18"/>
                <w:szCs w:val="18"/>
              </w:rPr>
              <w:t>生物信息分析</w:t>
            </w:r>
          </w:p>
        </w:tc>
        <w:tc>
          <w:tcPr>
            <w:tcW w:w="784"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center"/>
              <w:rPr>
                <w:rFonts w:ascii="Times New Roman" w:hAnsi="Times New Roman" w:eastAsia="宋体" w:cs="Times New Roman"/>
                <w:bCs/>
                <w:color w:val="000000"/>
                <w:sz w:val="18"/>
                <w:szCs w:val="18"/>
              </w:rPr>
            </w:pPr>
            <w:r>
              <w:rPr>
                <w:rFonts w:hint="eastAsia" w:ascii="宋体" w:hAnsi="宋体" w:cs="宋体"/>
                <w:bCs/>
                <w:color w:val="000000"/>
                <w:sz w:val="18"/>
                <w:szCs w:val="18"/>
              </w:rPr>
              <w:t>1</w:t>
            </w:r>
          </w:p>
        </w:tc>
        <w:tc>
          <w:tcPr>
            <w:tcW w:w="2177" w:type="dxa"/>
            <w:vAlign w:val="center"/>
          </w:tcPr>
          <w:p>
            <w:pPr>
              <w:keepNext w:val="0"/>
              <w:keepLines w:val="0"/>
              <w:pageBreakBefore w:val="0"/>
              <w:widowControl/>
              <w:kinsoku/>
              <w:wordWrap/>
              <w:overflowPunct/>
              <w:topLinePunct w:val="0"/>
              <w:autoSpaceDE/>
              <w:autoSpaceDN/>
              <w:bidi w:val="0"/>
              <w:adjustRightInd/>
              <w:snapToGrid/>
              <w:spacing w:after="0" w:line="200" w:lineRule="exact"/>
              <w:jc w:val="left"/>
              <w:rPr>
                <w:rFonts w:ascii="Times New Roman" w:hAnsi="Times New Roman" w:cs="Times New Roman"/>
                <w:bCs/>
                <w:color w:val="000000"/>
                <w:sz w:val="18"/>
                <w:szCs w:val="18"/>
              </w:rPr>
            </w:pPr>
            <w:r>
              <w:rPr>
                <w:rFonts w:hint="eastAsia" w:ascii="宋体" w:hAnsi="宋体" w:cs="宋体"/>
                <w:bCs/>
                <w:color w:val="000000"/>
                <w:sz w:val="18"/>
                <w:szCs w:val="18"/>
              </w:rPr>
              <w:t>承担生物信息数据分析、科研、实验相关工作</w:t>
            </w:r>
          </w:p>
        </w:tc>
        <w:tc>
          <w:tcPr>
            <w:tcW w:w="3336" w:type="dxa"/>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rPr>
                <w:rFonts w:hint="eastAsia"/>
                <w:bCs/>
                <w:sz w:val="18"/>
                <w:szCs w:val="18"/>
              </w:rPr>
            </w:pPr>
            <w:r>
              <w:rPr>
                <w:bCs/>
                <w:sz w:val="18"/>
                <w:szCs w:val="18"/>
              </w:rPr>
              <w:t>生物信息学、基因组学、遗传学、计算生物学、统计学（生物统计方向）</w:t>
            </w:r>
            <w:r>
              <w:rPr>
                <w:rFonts w:hint="eastAsia"/>
                <w:bCs/>
                <w:sz w:val="18"/>
                <w:szCs w:val="18"/>
              </w:rPr>
              <w:t>、</w:t>
            </w:r>
            <w:r>
              <w:rPr>
                <w:rFonts w:hint="eastAsia" w:ascii="Times New Roman" w:hAnsi="Times New Roman" w:cs="Times New Roman"/>
                <w:sz w:val="18"/>
                <w:szCs w:val="18"/>
              </w:rPr>
              <w:t>生物学类相关</w:t>
            </w:r>
            <w:r>
              <w:rPr>
                <w:rFonts w:ascii="Times New Roman" w:hAnsi="Times New Roman" w:cs="Times New Roman"/>
                <w:sz w:val="18"/>
                <w:szCs w:val="18"/>
              </w:rPr>
              <w:t>专业</w:t>
            </w:r>
            <w:r>
              <w:rPr>
                <w:bCs/>
                <w:sz w:val="18"/>
                <w:szCs w:val="18"/>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rPr>
                <w:rFonts w:ascii="Times New Roman" w:hAnsi="Times New Roman" w:cs="Times New Roman"/>
                <w:bCs/>
                <w:color w:val="000000"/>
                <w:sz w:val="18"/>
                <w:szCs w:val="18"/>
              </w:rPr>
            </w:pPr>
            <w:r>
              <w:rPr>
                <w:rFonts w:ascii="Times New Roman" w:hAnsi="Times New Roman" w:cs="Times New Roman"/>
                <w:sz w:val="18"/>
                <w:szCs w:val="18"/>
              </w:rPr>
              <w:t>研究生学历且</w:t>
            </w:r>
            <w:r>
              <w:rPr>
                <w:rFonts w:hint="eastAsia" w:ascii="Times New Roman" w:hAnsi="Times New Roman" w:cs="Times New Roman"/>
                <w:sz w:val="18"/>
                <w:szCs w:val="18"/>
              </w:rPr>
              <w:t>博士</w:t>
            </w:r>
            <w:r>
              <w:rPr>
                <w:rFonts w:ascii="Times New Roman" w:hAnsi="Times New Roman" w:cs="Times New Roman"/>
                <w:sz w:val="18"/>
                <w:szCs w:val="18"/>
              </w:rPr>
              <w:t>学位</w:t>
            </w:r>
          </w:p>
        </w:tc>
        <w:tc>
          <w:tcPr>
            <w:tcW w:w="720" w:type="dxa"/>
            <w:vMerge w:val="continue"/>
            <w:vAlign w:val="center"/>
          </w:tcPr>
          <w:p>
            <w:pPr>
              <w:widowControl/>
              <w:spacing w:after="0" w:line="200" w:lineRule="exact"/>
              <w:jc w:val="center"/>
              <w:rPr>
                <w:rFonts w:ascii="Times New Roman" w:hAnsi="Times New Roman" w:eastAsia="宋体" w:cs="Times New Roman"/>
                <w:kern w:val="0"/>
                <w:sz w:val="18"/>
                <w:szCs w:val="18"/>
              </w:rPr>
            </w:pPr>
          </w:p>
        </w:tc>
        <w:tc>
          <w:tcPr>
            <w:tcW w:w="1817" w:type="dxa"/>
            <w:vMerge w:val="continue"/>
          </w:tcPr>
          <w:p>
            <w:pPr>
              <w:widowControl/>
              <w:spacing w:after="0" w:line="200" w:lineRule="exact"/>
              <w:jc w:val="left"/>
              <w:rPr>
                <w:rFonts w:ascii="Times New Roman" w:hAnsi="Times New Roman" w:eastAsia="宋体" w:cs="Times New Roman"/>
                <w:kern w:val="0"/>
                <w:sz w:val="18"/>
                <w:szCs w:val="18"/>
                <w:lang w:bidi="ar"/>
              </w:rPr>
            </w:pPr>
          </w:p>
        </w:tc>
      </w:tr>
    </w:tbl>
    <w:p>
      <w:pPr>
        <w:spacing w:line="360" w:lineRule="auto"/>
        <w:ind w:firstLine="480" w:firstLineChars="200"/>
        <w:rPr>
          <w:rFonts w:ascii="Times New Roman" w:hAnsi="Times New Roman" w:cs="Times New Roman"/>
          <w:sz w:val="24"/>
          <w:szCs w:val="24"/>
        </w:rPr>
      </w:pPr>
      <w:bookmarkStart w:id="0" w:name="_GoBack"/>
      <w:bookmarkEnd w:id="0"/>
      <w:r>
        <w:rPr>
          <w:rFonts w:ascii="Times New Roman" w:hAnsi="Times New Roman" w:cs="Times New Roman"/>
          <w:sz w:val="24"/>
          <w:szCs w:val="24"/>
        </w:rPr>
        <w:t>注：</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202</w:t>
      </w:r>
      <w:r>
        <w:rPr>
          <w:rFonts w:hint="eastAsia" w:ascii="Times New Roman" w:hAnsi="Times New Roman" w:cs="Times New Roman"/>
          <w:sz w:val="24"/>
          <w:szCs w:val="24"/>
        </w:rPr>
        <w:t>6</w:t>
      </w:r>
      <w:r>
        <w:rPr>
          <w:rFonts w:ascii="Times New Roman" w:hAnsi="Times New Roman" w:cs="Times New Roman"/>
          <w:sz w:val="24"/>
          <w:szCs w:val="24"/>
        </w:rPr>
        <w:t>年普通高等院校应届毕业生需在202</w:t>
      </w:r>
      <w:r>
        <w:rPr>
          <w:rFonts w:hint="eastAsia" w:ascii="Times New Roman" w:hAnsi="Times New Roman" w:cs="Times New Roman"/>
          <w:sz w:val="24"/>
          <w:szCs w:val="24"/>
        </w:rPr>
        <w:t>6</w:t>
      </w:r>
      <w:r>
        <w:rPr>
          <w:rFonts w:ascii="Times New Roman" w:hAnsi="Times New Roman" w:cs="Times New Roman"/>
          <w:sz w:val="24"/>
          <w:szCs w:val="24"/>
        </w:rPr>
        <w:t>年9月30日</w:t>
      </w:r>
      <w:r>
        <w:rPr>
          <w:rFonts w:hint="eastAsia" w:ascii="Times New Roman" w:hAnsi="Times New Roman" w:cs="Times New Roman"/>
          <w:sz w:val="24"/>
          <w:szCs w:val="24"/>
          <w:highlight w:val="none"/>
          <w:lang w:eastAsia="zh-CN"/>
        </w:rPr>
        <w:t>前</w:t>
      </w:r>
      <w:r>
        <w:rPr>
          <w:rFonts w:ascii="Times New Roman" w:hAnsi="Times New Roman" w:cs="Times New Roman"/>
          <w:sz w:val="24"/>
          <w:szCs w:val="24"/>
        </w:rPr>
        <w:t>取得相应的学历、学位。202</w:t>
      </w:r>
      <w:r>
        <w:rPr>
          <w:rFonts w:hint="eastAsia" w:ascii="Times New Roman" w:hAnsi="Times New Roman" w:cs="Times New Roman"/>
          <w:sz w:val="24"/>
          <w:szCs w:val="24"/>
        </w:rPr>
        <w:t>5</w:t>
      </w:r>
      <w:r>
        <w:rPr>
          <w:rFonts w:ascii="Times New Roman" w:hAnsi="Times New Roman" w:cs="Times New Roman"/>
          <w:sz w:val="24"/>
          <w:szCs w:val="24"/>
        </w:rPr>
        <w:t>年10月1日至202</w:t>
      </w:r>
      <w:r>
        <w:rPr>
          <w:rFonts w:hint="eastAsia" w:ascii="Times New Roman" w:hAnsi="Times New Roman" w:cs="Times New Roman"/>
          <w:sz w:val="24"/>
          <w:szCs w:val="24"/>
        </w:rPr>
        <w:t>6</w:t>
      </w:r>
      <w:r>
        <w:rPr>
          <w:rFonts w:ascii="Times New Roman" w:hAnsi="Times New Roman" w:cs="Times New Roman"/>
          <w:sz w:val="24"/>
          <w:szCs w:val="24"/>
        </w:rPr>
        <w:t>年9月30日毕业的国（境）外留学回国（境）人员可等同于国内202</w:t>
      </w:r>
      <w:r>
        <w:rPr>
          <w:rFonts w:hint="eastAsia" w:ascii="Times New Roman" w:hAnsi="Times New Roman" w:cs="Times New Roman"/>
          <w:sz w:val="24"/>
          <w:szCs w:val="24"/>
        </w:rPr>
        <w:t>6</w:t>
      </w:r>
      <w:r>
        <w:rPr>
          <w:rFonts w:ascii="Times New Roman" w:hAnsi="Times New Roman" w:cs="Times New Roman"/>
          <w:sz w:val="24"/>
          <w:szCs w:val="24"/>
        </w:rPr>
        <w:t>年普通应届毕业生，报考时仍未毕业的可凭国（境）外学校学籍证明报名,但须于202</w:t>
      </w:r>
      <w:r>
        <w:rPr>
          <w:rFonts w:hint="eastAsia" w:ascii="Times New Roman" w:hAnsi="Times New Roman" w:cs="Times New Roman"/>
          <w:sz w:val="24"/>
          <w:szCs w:val="24"/>
        </w:rPr>
        <w:t>6</w:t>
      </w:r>
      <w:r>
        <w:rPr>
          <w:rFonts w:ascii="Times New Roman" w:hAnsi="Times New Roman" w:cs="Times New Roman"/>
          <w:sz w:val="24"/>
          <w:szCs w:val="24"/>
        </w:rPr>
        <w:t>年12月31日前取得国家教育部出具的学历学位认证书（到时未取得的不予录用），专业相近的以所学课程为准。</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除面向202</w:t>
      </w:r>
      <w:r>
        <w:rPr>
          <w:rFonts w:hint="eastAsia" w:ascii="Times New Roman" w:hAnsi="Times New Roman" w:cs="Times New Roman"/>
          <w:sz w:val="24"/>
          <w:szCs w:val="24"/>
        </w:rPr>
        <w:t>6</w:t>
      </w:r>
      <w:r>
        <w:rPr>
          <w:rFonts w:ascii="Times New Roman" w:hAnsi="Times New Roman" w:cs="Times New Roman"/>
          <w:sz w:val="24"/>
          <w:szCs w:val="24"/>
        </w:rPr>
        <w:t>年普通高等院校应届毕业生的岗位外，其他岗位要求的学历（学位）、职称、执业资格、上岗合格证书、规培合格证书取得时间和年龄、工作经历计算截止时间均为公告发布之日。</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下列情形者视同202</w:t>
      </w:r>
      <w:r>
        <w:rPr>
          <w:rFonts w:hint="eastAsia" w:ascii="Times New Roman" w:hAnsi="Times New Roman" w:cs="Times New Roman"/>
          <w:sz w:val="24"/>
          <w:szCs w:val="24"/>
        </w:rPr>
        <w:t>6</w:t>
      </w:r>
      <w:r>
        <w:rPr>
          <w:rFonts w:ascii="Times New Roman" w:hAnsi="Times New Roman" w:cs="Times New Roman"/>
          <w:sz w:val="24"/>
          <w:szCs w:val="24"/>
        </w:rPr>
        <w:t>年普通应届毕业生对待：</w:t>
      </w: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202</w:t>
      </w:r>
      <w:r>
        <w:rPr>
          <w:rFonts w:hint="eastAsia" w:ascii="Times New Roman" w:hAnsi="Times New Roman" w:cs="Times New Roman"/>
          <w:sz w:val="24"/>
          <w:szCs w:val="24"/>
        </w:rPr>
        <w:t>4</w:t>
      </w:r>
      <w:r>
        <w:rPr>
          <w:rFonts w:ascii="Times New Roman" w:hAnsi="Times New Roman" w:cs="Times New Roman"/>
          <w:sz w:val="24"/>
          <w:szCs w:val="24"/>
        </w:rPr>
        <w:t>年、202</w:t>
      </w:r>
      <w:r>
        <w:rPr>
          <w:rFonts w:hint="eastAsia" w:ascii="Times New Roman" w:hAnsi="Times New Roman" w:cs="Times New Roman"/>
          <w:sz w:val="24"/>
          <w:szCs w:val="24"/>
        </w:rPr>
        <w:t>5</w:t>
      </w:r>
      <w:r>
        <w:rPr>
          <w:rFonts w:ascii="Times New Roman" w:hAnsi="Times New Roman" w:cs="Times New Roman"/>
          <w:sz w:val="24"/>
          <w:szCs w:val="24"/>
        </w:rPr>
        <w:t>年普通高校毕业生（202</w:t>
      </w:r>
      <w:r>
        <w:rPr>
          <w:rFonts w:hint="eastAsia" w:ascii="Times New Roman" w:hAnsi="Times New Roman" w:cs="Times New Roman"/>
          <w:sz w:val="24"/>
          <w:szCs w:val="24"/>
        </w:rPr>
        <w:t>3</w:t>
      </w:r>
      <w:r>
        <w:rPr>
          <w:rFonts w:ascii="Times New Roman" w:hAnsi="Times New Roman" w:cs="Times New Roman"/>
          <w:sz w:val="24"/>
          <w:szCs w:val="24"/>
        </w:rPr>
        <w:t>年10月1日至202</w:t>
      </w:r>
      <w:r>
        <w:rPr>
          <w:rFonts w:hint="eastAsia" w:ascii="Times New Roman" w:hAnsi="Times New Roman" w:cs="Times New Roman"/>
          <w:sz w:val="24"/>
          <w:szCs w:val="24"/>
        </w:rPr>
        <w:t>5</w:t>
      </w:r>
      <w:r>
        <w:rPr>
          <w:rFonts w:ascii="Times New Roman" w:hAnsi="Times New Roman" w:cs="Times New Roman"/>
          <w:sz w:val="24"/>
          <w:szCs w:val="24"/>
        </w:rPr>
        <w:t>年9月30日毕业），或同期毕业并可在202</w:t>
      </w:r>
      <w:r>
        <w:rPr>
          <w:rFonts w:hint="eastAsia" w:ascii="Times New Roman" w:hAnsi="Times New Roman" w:cs="Times New Roman"/>
          <w:sz w:val="24"/>
          <w:szCs w:val="24"/>
        </w:rPr>
        <w:t>6</w:t>
      </w:r>
      <w:r>
        <w:rPr>
          <w:rFonts w:ascii="Times New Roman" w:hAnsi="Times New Roman" w:cs="Times New Roman"/>
          <w:sz w:val="24"/>
          <w:szCs w:val="24"/>
        </w:rPr>
        <w:t>年12月底前取得学位证书和国家教育部出具的学历学位认证书的国（境）外留学人员；</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w:t>
      </w:r>
      <w:r>
        <w:rPr>
          <w:rFonts w:ascii="Times New Roman" w:hAnsi="Times New Roman" w:cs="Times New Roman"/>
          <w:sz w:val="24"/>
          <w:szCs w:val="24"/>
        </w:rPr>
        <w:t>列入国家统招计划，由培养学校统一进行就业推荐和毕业派遣，按培养计划应于202</w:t>
      </w:r>
      <w:r>
        <w:rPr>
          <w:rFonts w:hint="eastAsia" w:ascii="Times New Roman" w:hAnsi="Times New Roman" w:cs="Times New Roman"/>
          <w:sz w:val="24"/>
          <w:szCs w:val="24"/>
        </w:rPr>
        <w:t>6</w:t>
      </w:r>
      <w:r>
        <w:rPr>
          <w:rFonts w:ascii="Times New Roman" w:hAnsi="Times New Roman" w:cs="Times New Roman"/>
          <w:sz w:val="24"/>
          <w:szCs w:val="24"/>
        </w:rPr>
        <w:t>年毕业，有类似初次就业需求的非全日制研究生（不含在职攻读学历学位人员）；</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w:t>
      </w:r>
      <w:r>
        <w:rPr>
          <w:rFonts w:ascii="Times New Roman" w:hAnsi="Times New Roman" w:cs="Times New Roman"/>
          <w:sz w:val="24"/>
          <w:szCs w:val="24"/>
        </w:rPr>
        <w:t>按国家政策规定享受应届毕业生就业待遇的其他情形。</w:t>
      </w:r>
    </w:p>
    <w:p>
      <w:pPr>
        <w:spacing w:line="360" w:lineRule="auto"/>
        <w:ind w:firstLine="480" w:firstLineChars="200"/>
        <w:rPr>
          <w:highlight w:val="none"/>
        </w:rPr>
      </w:pPr>
      <w:r>
        <w:rPr>
          <w:rFonts w:ascii="Times New Roman" w:hAnsi="Times New Roman" w:cs="Times New Roman"/>
          <w:sz w:val="24"/>
          <w:szCs w:val="24"/>
        </w:rPr>
        <w:t>4</w:t>
      </w:r>
      <w:r>
        <w:rPr>
          <w:rFonts w:hint="eastAsia" w:ascii="Times New Roman" w:hAnsi="Times New Roman" w:cs="Times New Roman"/>
          <w:sz w:val="24"/>
          <w:szCs w:val="24"/>
          <w:lang w:eastAsia="zh-CN"/>
        </w:rPr>
        <w:t>.</w:t>
      </w:r>
      <w:r>
        <w:rPr>
          <w:rFonts w:ascii="Times New Roman" w:hAnsi="Times New Roman" w:cs="Times New Roman"/>
          <w:sz w:val="24"/>
          <w:szCs w:val="24"/>
          <w:highlight w:val="none"/>
        </w:rPr>
        <w:t>宁波市临床病理诊断中心招聘人员工作地点在该中心，其中：病理诊断</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rPr>
        <w:t>生物信息分析</w:t>
      </w:r>
      <w:r>
        <w:rPr>
          <w:rFonts w:ascii="Times New Roman" w:hAnsi="Times New Roman" w:cs="Times New Roman"/>
          <w:sz w:val="24"/>
          <w:szCs w:val="24"/>
          <w:highlight w:val="none"/>
        </w:rPr>
        <w:t>岗位人员编制在宁波大学附属第一医院，由宁波市临床病理诊断中心负责具体招聘工作。</w:t>
      </w:r>
    </w:p>
    <w:sectPr>
      <w:pgSz w:w="11906" w:h="16838"/>
      <w:pgMar w:top="1270" w:right="1800" w:bottom="127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BA0BA"/>
    <w:rsid w:val="00062FF4"/>
    <w:rsid w:val="000B480E"/>
    <w:rsid w:val="00307882"/>
    <w:rsid w:val="003C6989"/>
    <w:rsid w:val="003D2D2B"/>
    <w:rsid w:val="00476AF4"/>
    <w:rsid w:val="00511F90"/>
    <w:rsid w:val="005A0978"/>
    <w:rsid w:val="005F096C"/>
    <w:rsid w:val="006F5E38"/>
    <w:rsid w:val="00716B35"/>
    <w:rsid w:val="007943E7"/>
    <w:rsid w:val="00861B57"/>
    <w:rsid w:val="008B0EF5"/>
    <w:rsid w:val="008F2090"/>
    <w:rsid w:val="009146F5"/>
    <w:rsid w:val="00A20DCC"/>
    <w:rsid w:val="00A95E75"/>
    <w:rsid w:val="00B13814"/>
    <w:rsid w:val="00B62D51"/>
    <w:rsid w:val="00BB320C"/>
    <w:rsid w:val="00C860A3"/>
    <w:rsid w:val="00C87B91"/>
    <w:rsid w:val="00DB2FCD"/>
    <w:rsid w:val="00DE370B"/>
    <w:rsid w:val="00E243C3"/>
    <w:rsid w:val="00EC0484"/>
    <w:rsid w:val="00F50419"/>
    <w:rsid w:val="1D5FE831"/>
    <w:rsid w:val="1EDF58E9"/>
    <w:rsid w:val="1EF520FA"/>
    <w:rsid w:val="1FB32187"/>
    <w:rsid w:val="37FFAAC3"/>
    <w:rsid w:val="3D77A556"/>
    <w:rsid w:val="3E7D2370"/>
    <w:rsid w:val="3F3FC583"/>
    <w:rsid w:val="3F87A617"/>
    <w:rsid w:val="3FB8DD75"/>
    <w:rsid w:val="3FBA3C0B"/>
    <w:rsid w:val="4F9EEC99"/>
    <w:rsid w:val="4FF74C44"/>
    <w:rsid w:val="4FFE9249"/>
    <w:rsid w:val="50BB0941"/>
    <w:rsid w:val="547D073D"/>
    <w:rsid w:val="57BA75AD"/>
    <w:rsid w:val="5D8FD77A"/>
    <w:rsid w:val="5EB5473F"/>
    <w:rsid w:val="5EF73395"/>
    <w:rsid w:val="5F7631C7"/>
    <w:rsid w:val="5FBFE3AD"/>
    <w:rsid w:val="5FDB5927"/>
    <w:rsid w:val="5FF9CE35"/>
    <w:rsid w:val="5FFD18D5"/>
    <w:rsid w:val="5FFE717B"/>
    <w:rsid w:val="5FFF0C37"/>
    <w:rsid w:val="62D7CDCE"/>
    <w:rsid w:val="67FB0CE2"/>
    <w:rsid w:val="6956E368"/>
    <w:rsid w:val="6BBFFDF1"/>
    <w:rsid w:val="6BFFBE60"/>
    <w:rsid w:val="6E6B70BC"/>
    <w:rsid w:val="6F6EC262"/>
    <w:rsid w:val="6FBD98C1"/>
    <w:rsid w:val="6FFED472"/>
    <w:rsid w:val="73AFC1EC"/>
    <w:rsid w:val="755D87C2"/>
    <w:rsid w:val="75FD9F62"/>
    <w:rsid w:val="75FF740B"/>
    <w:rsid w:val="77DB6EF9"/>
    <w:rsid w:val="77FAC1AB"/>
    <w:rsid w:val="77FF5526"/>
    <w:rsid w:val="78FF1605"/>
    <w:rsid w:val="79FFF5C6"/>
    <w:rsid w:val="7C3F1ACD"/>
    <w:rsid w:val="7C7BA0BA"/>
    <w:rsid w:val="7CFD57FA"/>
    <w:rsid w:val="7D7F0EEF"/>
    <w:rsid w:val="7DFF00B6"/>
    <w:rsid w:val="7E3D0D5A"/>
    <w:rsid w:val="7E9C85BB"/>
    <w:rsid w:val="7EFC90BC"/>
    <w:rsid w:val="7EFFA425"/>
    <w:rsid w:val="7F333023"/>
    <w:rsid w:val="7F4B42D0"/>
    <w:rsid w:val="7F4F844E"/>
    <w:rsid w:val="7F7F2C4A"/>
    <w:rsid w:val="7FBFD6B1"/>
    <w:rsid w:val="7FD7DF2F"/>
    <w:rsid w:val="7FF7B38C"/>
    <w:rsid w:val="7FFD39EE"/>
    <w:rsid w:val="7FFD9152"/>
    <w:rsid w:val="7FFF9ECB"/>
    <w:rsid w:val="7FFFA942"/>
    <w:rsid w:val="8A37C433"/>
    <w:rsid w:val="8EF750EA"/>
    <w:rsid w:val="96D79ED8"/>
    <w:rsid w:val="9A3FC9F0"/>
    <w:rsid w:val="9BB9CC16"/>
    <w:rsid w:val="A7E52CA6"/>
    <w:rsid w:val="AF9D13E0"/>
    <w:rsid w:val="B2FD002A"/>
    <w:rsid w:val="B53C9A1F"/>
    <w:rsid w:val="B7AFA59F"/>
    <w:rsid w:val="B9F0EA48"/>
    <w:rsid w:val="B9FF4880"/>
    <w:rsid w:val="BA5BEAD6"/>
    <w:rsid w:val="BA7B23C6"/>
    <w:rsid w:val="BCBE33AC"/>
    <w:rsid w:val="BFCB5EFD"/>
    <w:rsid w:val="BFF6FBBA"/>
    <w:rsid w:val="C5DB3D39"/>
    <w:rsid w:val="CB4FE1E7"/>
    <w:rsid w:val="CF5311E8"/>
    <w:rsid w:val="D0D1FE32"/>
    <w:rsid w:val="D360B4AF"/>
    <w:rsid w:val="D5FFDA45"/>
    <w:rsid w:val="D6EEEE06"/>
    <w:rsid w:val="D6FD8AF0"/>
    <w:rsid w:val="DBB5E58C"/>
    <w:rsid w:val="DEF7160C"/>
    <w:rsid w:val="DEFF97DD"/>
    <w:rsid w:val="DFD73C07"/>
    <w:rsid w:val="DFD92916"/>
    <w:rsid w:val="DFEFF594"/>
    <w:rsid w:val="E4EF996C"/>
    <w:rsid w:val="EBE6FCAD"/>
    <w:rsid w:val="ED7B8602"/>
    <w:rsid w:val="ED7F9021"/>
    <w:rsid w:val="ED9D04D8"/>
    <w:rsid w:val="EDFE5494"/>
    <w:rsid w:val="EDFFFFDC"/>
    <w:rsid w:val="EF1E4C4D"/>
    <w:rsid w:val="EF9F57CF"/>
    <w:rsid w:val="EFA20349"/>
    <w:rsid w:val="EFEFAC75"/>
    <w:rsid w:val="EFFB2981"/>
    <w:rsid w:val="F2FD20EA"/>
    <w:rsid w:val="F39738FC"/>
    <w:rsid w:val="F3E79EC0"/>
    <w:rsid w:val="F63D0FF5"/>
    <w:rsid w:val="F77F9B11"/>
    <w:rsid w:val="F7B703C4"/>
    <w:rsid w:val="F7EBE3E8"/>
    <w:rsid w:val="F7EFBDB8"/>
    <w:rsid w:val="FADF74D4"/>
    <w:rsid w:val="FAE93575"/>
    <w:rsid w:val="FB6D21D3"/>
    <w:rsid w:val="FB7977FE"/>
    <w:rsid w:val="FBEE32AB"/>
    <w:rsid w:val="FBF74040"/>
    <w:rsid w:val="FBFC0951"/>
    <w:rsid w:val="FBFD38D5"/>
    <w:rsid w:val="FBFFA982"/>
    <w:rsid w:val="FDFBF561"/>
    <w:rsid w:val="FDFF6FF8"/>
    <w:rsid w:val="FDFFD3FC"/>
    <w:rsid w:val="FE734873"/>
    <w:rsid w:val="FE7B114B"/>
    <w:rsid w:val="FF95606C"/>
    <w:rsid w:val="FFDBDE8C"/>
    <w:rsid w:val="FFDDA559"/>
    <w:rsid w:val="FFEF321A"/>
    <w:rsid w:val="FFFD0EB4"/>
    <w:rsid w:val="FFFF2DE0"/>
    <w:rsid w:val="FFFF4E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uto"/>
      <w:jc w:val="left"/>
    </w:pPr>
    <w:rPr>
      <w:sz w:val="18"/>
      <w:szCs w:val="18"/>
    </w:rPr>
  </w:style>
  <w:style w:type="paragraph" w:styleId="3">
    <w:name w:val="header"/>
    <w:basedOn w:val="1"/>
    <w:link w:val="9"/>
    <w:qFormat/>
    <w:uiPriority w:val="0"/>
    <w:pPr>
      <w:tabs>
        <w:tab w:val="center" w:pos="4153"/>
        <w:tab w:val="right" w:pos="8306"/>
      </w:tabs>
      <w:snapToGrid w:val="0"/>
      <w:spacing w:line="240" w:lineRule="auto"/>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detail_title1"/>
    <w:basedOn w:val="7"/>
    <w:qFormat/>
    <w:uiPriority w:val="0"/>
    <w:rPr>
      <w:bCs/>
      <w:sz w:val="27"/>
      <w:szCs w:val="27"/>
    </w:rPr>
  </w:style>
  <w:style w:type="character" w:customStyle="1" w:styleId="9">
    <w:name w:val="页眉 字符"/>
    <w:basedOn w:val="7"/>
    <w:link w:val="3"/>
    <w:qFormat/>
    <w:uiPriority w:val="0"/>
    <w:rPr>
      <w:kern w:val="2"/>
      <w:sz w:val="18"/>
      <w:szCs w:val="18"/>
    </w:rPr>
  </w:style>
  <w:style w:type="character" w:customStyle="1" w:styleId="10">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1871</Words>
  <Characters>1947</Characters>
  <Lines>278</Lines>
  <Paragraphs>318</Paragraphs>
  <TotalTime>76</TotalTime>
  <ScaleCrop>false</ScaleCrop>
  <LinksUpToDate>false</LinksUpToDate>
  <CharactersWithSpaces>3500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2025-09-07T23:21:00Z</dcterms:created>
  <dc:creator>user</dc:creator>
  <cp:lastModifiedBy>user</cp:lastModifiedBy>
  <cp:lastPrinted>2025-09-16T19:35:00Z</cp:lastPrinted>
  <dcterms:modified xsi:type="dcterms:W3CDTF">2026-05-21T16:36:56Z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7CDE0E5FCBA33430C984E5698EFD2253_42</vt:lpwstr>
  </property>
</Properties>
</file>